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A0F5B1">
      <w:pPr>
        <w:pStyle w:val="2"/>
        <w:keepNext w:val="0"/>
        <w:keepLines w:val="0"/>
        <w:pageBreakBefore w:val="0"/>
        <w:widowControl/>
        <w:numPr>
          <w:ilvl w:val="0"/>
          <w:numId w:val="0"/>
        </w:numPr>
        <w:suppressLineNumbers w:val="0"/>
        <w:kinsoku/>
        <w:wordWrap w:val="0"/>
        <w:overflowPunct/>
        <w:topLinePunct w:val="0"/>
        <w:autoSpaceDE/>
        <w:autoSpaceDN/>
        <w:bidi w:val="0"/>
        <w:adjustRightInd/>
        <w:snapToGrid/>
        <w:spacing w:beforeAutospacing="0" w:after="0" w:afterAutospacing="0" w:line="360" w:lineRule="auto"/>
        <w:ind w:leftChars="0" w:right="0" w:rightChars="0"/>
        <w:jc w:val="center"/>
        <w:textAlignment w:val="auto"/>
        <w:rPr>
          <w:rFonts w:hint="eastAsia" w:ascii="Times New Roman Regular" w:hAnsi="Times New Roman Regular" w:cs="Times New Roman Regular" w:eastAsiaTheme="majorEastAsia"/>
          <w:b/>
          <w:bCs/>
          <w:color w:val="auto"/>
          <w:sz w:val="28"/>
          <w:szCs w:val="28"/>
          <w:lang w:val="en-US" w:eastAsia="zh-CN"/>
        </w:rPr>
      </w:pPr>
      <w:r>
        <w:rPr>
          <w:rFonts w:hint="eastAsia" w:ascii="Times New Roman Regular" w:hAnsi="Times New Roman Regular" w:cs="Times New Roman Regular" w:eastAsiaTheme="majorEastAsia"/>
          <w:b/>
          <w:bCs/>
          <w:color w:val="auto"/>
          <w:sz w:val="28"/>
          <w:szCs w:val="28"/>
          <w:lang w:val="en-US" w:eastAsia="zh-CN"/>
        </w:rPr>
        <w:t>近十年创新药相关政策梳理和变化</w:t>
      </w:r>
    </w:p>
    <w:p w14:paraId="670ECEE5">
      <w:pPr>
        <w:pStyle w:val="2"/>
        <w:keepNext w:val="0"/>
        <w:keepLines w:val="0"/>
        <w:pageBreakBefore w:val="0"/>
        <w:widowControl/>
        <w:numPr>
          <w:ilvl w:val="0"/>
          <w:numId w:val="0"/>
        </w:numPr>
        <w:suppressLineNumbers w:val="0"/>
        <w:kinsoku/>
        <w:wordWrap w:val="0"/>
        <w:overflowPunct/>
        <w:topLinePunct w:val="0"/>
        <w:autoSpaceDE/>
        <w:autoSpaceDN/>
        <w:bidi w:val="0"/>
        <w:adjustRightInd/>
        <w:snapToGrid/>
        <w:spacing w:beforeAutospacing="0" w:after="0" w:afterAutospacing="0" w:line="360" w:lineRule="auto"/>
        <w:ind w:leftChars="0" w:right="0" w:rightChars="0"/>
        <w:jc w:val="center"/>
        <w:textAlignment w:val="auto"/>
        <w:rPr>
          <w:rFonts w:hint="default" w:ascii="Times New Roman Regular" w:hAnsi="Times New Roman Regular" w:cs="Times New Roman Regular" w:eastAsiaTheme="majorEastAsia"/>
          <w:b/>
          <w:bCs/>
          <w:color w:val="auto"/>
          <w:sz w:val="28"/>
          <w:szCs w:val="28"/>
          <w:lang w:val="en-US" w:eastAsia="zh-CN"/>
        </w:rPr>
      </w:pPr>
    </w:p>
    <w:p w14:paraId="0F499D93">
      <w:pPr>
        <w:pStyle w:val="2"/>
        <w:keepNext w:val="0"/>
        <w:keepLines w:val="0"/>
        <w:pageBreakBefore w:val="0"/>
        <w:widowControl/>
        <w:numPr>
          <w:ilvl w:val="0"/>
          <w:numId w:val="1"/>
        </w:numPr>
        <w:suppressLineNumbers w:val="0"/>
        <w:kinsoku/>
        <w:wordWrap w:val="0"/>
        <w:overflowPunct/>
        <w:topLinePunct w:val="0"/>
        <w:autoSpaceDE/>
        <w:autoSpaceDN/>
        <w:bidi w:val="0"/>
        <w:adjustRightInd/>
        <w:snapToGrid/>
        <w:spacing w:beforeAutospacing="0" w:after="0" w:afterAutospacing="0" w:line="360" w:lineRule="auto"/>
        <w:ind w:left="425" w:leftChars="0" w:hanging="425" w:firstLineChars="0"/>
        <w:textAlignment w:val="auto"/>
        <w:rPr>
          <w:rFonts w:hint="default" w:ascii="Times New Roman Regular" w:hAnsi="Times New Roman Regular" w:cs="Times New Roman Regular" w:eastAsiaTheme="majorEastAsia"/>
          <w:b w:val="0"/>
          <w:color w:val="auto"/>
          <w:sz w:val="24"/>
          <w:szCs w:val="24"/>
        </w:rPr>
      </w:pPr>
      <w:r>
        <w:rPr>
          <w:rStyle w:val="5"/>
          <w:rFonts w:hint="default" w:ascii="Times New Roman Regular" w:hAnsi="Times New Roman Regular" w:cs="Times New Roman Regular" w:eastAsiaTheme="majorEastAsia"/>
          <w:b/>
          <w:bCs/>
          <w:color w:val="auto"/>
          <w:sz w:val="24"/>
          <w:szCs w:val="24"/>
        </w:rPr>
        <w:t>药品上市许可持有人（marketing authorization holder，MAH）制度释放创新主体活力</w:t>
      </w:r>
    </w:p>
    <w:p w14:paraId="0475CD46">
      <w:pPr>
        <w:pStyle w:val="2"/>
        <w:keepNext w:val="0"/>
        <w:keepLines w:val="0"/>
        <w:pageBreakBefore w:val="0"/>
        <w:widowControl/>
        <w:numPr>
          <w:ilvl w:val="0"/>
          <w:numId w:val="2"/>
        </w:numPr>
        <w:suppressLineNumbers w:val="0"/>
        <w:kinsoku/>
        <w:wordWrap w:val="0"/>
        <w:overflowPunct/>
        <w:topLinePunct w:val="0"/>
        <w:autoSpaceDE/>
        <w:autoSpaceDN/>
        <w:bidi w:val="0"/>
        <w:adjustRightInd/>
        <w:snapToGrid/>
        <w:spacing w:beforeAutospacing="0" w:after="0" w:afterAutospacing="0" w:line="360" w:lineRule="auto"/>
        <w:ind w:left="840" w:leftChars="0" w:right="0" w:rightChars="0" w:hanging="420" w:firstLineChars="0"/>
        <w:textAlignment w:val="auto"/>
        <w:rPr>
          <w:rFonts w:hint="default" w:ascii="Times New Roman Regular" w:hAnsi="Times New Roman Regular" w:cs="Times New Roman Regular" w:eastAsiaTheme="majorEastAsia"/>
          <w:b w:val="0"/>
          <w:color w:val="auto"/>
          <w:sz w:val="24"/>
          <w:szCs w:val="24"/>
        </w:rPr>
      </w:pPr>
      <w:r>
        <w:rPr>
          <w:rFonts w:hint="default" w:ascii="Times New Roman Regular" w:hAnsi="Times New Roman Regular" w:cs="Times New Roman Regular" w:eastAsiaTheme="majorEastAsia"/>
          <w:b w:val="0"/>
          <w:color w:val="auto"/>
          <w:sz w:val="24"/>
          <w:szCs w:val="24"/>
        </w:rPr>
        <w:t>2015年底，我国开展了药品MAH制度的试点工作，2019年MAH制度写入了新版《药品管理法》。</w:t>
      </w:r>
    </w:p>
    <w:p w14:paraId="1FFC422D">
      <w:pPr>
        <w:pStyle w:val="2"/>
        <w:keepNext w:val="0"/>
        <w:keepLines w:val="0"/>
        <w:pageBreakBefore w:val="0"/>
        <w:widowControl/>
        <w:numPr>
          <w:ilvl w:val="0"/>
          <w:numId w:val="2"/>
        </w:numPr>
        <w:suppressLineNumbers w:val="0"/>
        <w:kinsoku/>
        <w:wordWrap w:val="0"/>
        <w:overflowPunct/>
        <w:topLinePunct w:val="0"/>
        <w:autoSpaceDE/>
        <w:autoSpaceDN/>
        <w:bidi w:val="0"/>
        <w:adjustRightInd/>
        <w:snapToGrid/>
        <w:spacing w:beforeAutospacing="0" w:after="0" w:afterAutospacing="0" w:line="360" w:lineRule="auto"/>
        <w:ind w:left="840" w:leftChars="0" w:right="0" w:rightChars="0" w:hanging="420" w:firstLineChars="0"/>
        <w:textAlignment w:val="auto"/>
        <w:rPr>
          <w:rFonts w:hint="default" w:ascii="Times New Roman Regular" w:hAnsi="Times New Roman Regular" w:cs="Times New Roman Regular" w:eastAsiaTheme="majorEastAsia"/>
          <w:b w:val="0"/>
          <w:color w:val="auto"/>
          <w:sz w:val="24"/>
          <w:szCs w:val="24"/>
        </w:rPr>
      </w:pPr>
      <w:r>
        <w:rPr>
          <w:rFonts w:hint="default" w:ascii="Times New Roman Regular" w:hAnsi="Times New Roman Regular" w:cs="Times New Roman Regular" w:eastAsiaTheme="majorEastAsia"/>
          <w:b w:val="0"/>
          <w:color w:val="auto"/>
          <w:sz w:val="24"/>
          <w:szCs w:val="24"/>
        </w:rPr>
        <w:t>药品上市许可与生产许可在该制度出台前是捆绑的，这种捆绑是基于当时我国制药工业发展水平不高的历史背景，为确保药品的质量与安全而采取的阶段性制度。</w:t>
      </w:r>
    </w:p>
    <w:p w14:paraId="26EB8D74">
      <w:pPr>
        <w:pStyle w:val="2"/>
        <w:keepNext w:val="0"/>
        <w:keepLines w:val="0"/>
        <w:pageBreakBefore w:val="0"/>
        <w:widowControl/>
        <w:numPr>
          <w:ilvl w:val="0"/>
          <w:numId w:val="2"/>
        </w:numPr>
        <w:suppressLineNumbers w:val="0"/>
        <w:kinsoku/>
        <w:wordWrap w:val="0"/>
        <w:overflowPunct/>
        <w:topLinePunct w:val="0"/>
        <w:autoSpaceDE/>
        <w:autoSpaceDN/>
        <w:bidi w:val="0"/>
        <w:adjustRightInd/>
        <w:snapToGrid/>
        <w:spacing w:beforeAutospacing="0" w:after="0" w:afterAutospacing="0" w:line="360" w:lineRule="auto"/>
        <w:ind w:left="840" w:leftChars="0" w:right="0" w:rightChars="0" w:hanging="420" w:firstLineChars="0"/>
        <w:textAlignment w:val="auto"/>
        <w:rPr>
          <w:rFonts w:hint="default" w:ascii="Times New Roman Regular" w:hAnsi="Times New Roman Regular" w:cs="Times New Roman Regular" w:eastAsiaTheme="majorEastAsia"/>
          <w:b w:val="0"/>
          <w:color w:val="auto"/>
          <w:sz w:val="24"/>
          <w:szCs w:val="24"/>
        </w:rPr>
      </w:pPr>
      <w:r>
        <w:rPr>
          <w:rFonts w:hint="default" w:ascii="Times New Roman Regular" w:hAnsi="Times New Roman Regular" w:cs="Times New Roman Regular" w:eastAsiaTheme="majorEastAsia"/>
          <w:b w:val="0"/>
          <w:color w:val="auto"/>
          <w:sz w:val="24"/>
          <w:szCs w:val="24"/>
        </w:rPr>
        <w:t>目前随着我国经济技术的快速发展，研发的主体更加多元化，研发能力也逐渐提高，按原有制度规定，研发者如果要将研发成果转化为医药产品，要么选择技术转让，要么选择投资建厂，这样的方式一方面无法充分发挥研发者的优势，不能将其重心投入到更多创新药物研发工作上；另一方面也会造成企业投资分散、生产设施设备重复、产业不集中等问题。</w:t>
      </w:r>
    </w:p>
    <w:p w14:paraId="107CAF1B">
      <w:pPr>
        <w:pStyle w:val="2"/>
        <w:keepNext w:val="0"/>
        <w:keepLines w:val="0"/>
        <w:pageBreakBefore w:val="0"/>
        <w:widowControl/>
        <w:numPr>
          <w:ilvl w:val="0"/>
          <w:numId w:val="2"/>
        </w:numPr>
        <w:suppressLineNumbers w:val="0"/>
        <w:kinsoku/>
        <w:wordWrap w:val="0"/>
        <w:overflowPunct/>
        <w:topLinePunct w:val="0"/>
        <w:autoSpaceDE/>
        <w:autoSpaceDN/>
        <w:bidi w:val="0"/>
        <w:adjustRightInd/>
        <w:snapToGrid/>
        <w:spacing w:beforeAutospacing="0" w:after="0" w:afterAutospacing="0" w:line="360" w:lineRule="auto"/>
        <w:ind w:left="840" w:leftChars="0" w:right="0" w:rightChars="0" w:hanging="420" w:firstLineChars="0"/>
        <w:textAlignment w:val="auto"/>
        <w:rPr>
          <w:rFonts w:hint="default" w:ascii="Times New Roman Regular" w:hAnsi="Times New Roman Regular" w:cs="Times New Roman Regular" w:eastAsiaTheme="majorEastAsia"/>
          <w:b w:val="0"/>
          <w:color w:val="auto"/>
          <w:sz w:val="24"/>
          <w:szCs w:val="24"/>
        </w:rPr>
      </w:pPr>
      <w:r>
        <w:rPr>
          <w:rFonts w:hint="default" w:ascii="Times New Roman Regular" w:hAnsi="Times New Roman Regular" w:cs="Times New Roman Regular" w:eastAsiaTheme="majorEastAsia"/>
          <w:b w:val="0"/>
          <w:color w:val="auto"/>
          <w:sz w:val="24"/>
          <w:szCs w:val="24"/>
        </w:rPr>
        <w:t>此外，MAH制度通过强调MAH应对药品的非临床研究、临床试验、生产经营、上市后研究、不良反应监测及报告与处理等承担主体责任，以规范药品全生命周期中各环节的具体条款及其执行路径，也对创新药开发的质量提供了保障。</w:t>
      </w:r>
    </w:p>
    <w:p w14:paraId="3471073E">
      <w:pPr>
        <w:pStyle w:val="2"/>
        <w:keepNext w:val="0"/>
        <w:keepLines w:val="0"/>
        <w:pageBreakBefore w:val="0"/>
        <w:widowControl/>
        <w:numPr>
          <w:ilvl w:val="0"/>
          <w:numId w:val="1"/>
        </w:numPr>
        <w:suppressLineNumbers w:val="0"/>
        <w:kinsoku/>
        <w:wordWrap w:val="0"/>
        <w:overflowPunct/>
        <w:topLinePunct w:val="0"/>
        <w:autoSpaceDE/>
        <w:autoSpaceDN/>
        <w:bidi w:val="0"/>
        <w:adjustRightInd/>
        <w:snapToGrid/>
        <w:spacing w:beforeAutospacing="0" w:after="0" w:afterAutospacing="0" w:line="360" w:lineRule="auto"/>
        <w:ind w:left="425" w:leftChars="0" w:hanging="425" w:firstLineChars="0"/>
        <w:jc w:val="left"/>
        <w:textAlignment w:val="auto"/>
        <w:rPr>
          <w:rStyle w:val="5"/>
          <w:rFonts w:hint="default" w:ascii="Times New Roman Regular" w:hAnsi="Times New Roman Regular" w:cs="Times New Roman Regular" w:eastAsiaTheme="majorEastAsia"/>
          <w:b/>
          <w:bCs/>
          <w:color w:val="auto"/>
          <w:sz w:val="24"/>
          <w:szCs w:val="24"/>
          <w:lang w:val="en-US" w:eastAsia="zh-CN"/>
        </w:rPr>
      </w:pPr>
      <w:r>
        <w:rPr>
          <w:rStyle w:val="5"/>
          <w:rFonts w:hint="default" w:ascii="Times New Roman Regular" w:hAnsi="Times New Roman Regular" w:cs="Times New Roman Regular" w:eastAsiaTheme="majorEastAsia"/>
          <w:b/>
          <w:bCs/>
          <w:color w:val="auto"/>
          <w:sz w:val="24"/>
          <w:szCs w:val="24"/>
          <w:lang w:val="en-US" w:eastAsia="zh-CN"/>
        </w:rPr>
        <w:t>加入ICH使药品注册管理制度与国际接轨</w:t>
      </w:r>
    </w:p>
    <w:p w14:paraId="02EEB631">
      <w:pPr>
        <w:pStyle w:val="2"/>
        <w:keepNext w:val="0"/>
        <w:keepLines w:val="0"/>
        <w:pageBreakBefore w:val="0"/>
        <w:widowControl/>
        <w:numPr>
          <w:ilvl w:val="0"/>
          <w:numId w:val="3"/>
        </w:numPr>
        <w:suppressLineNumbers w:val="0"/>
        <w:kinsoku/>
        <w:wordWrap w:val="0"/>
        <w:overflowPunct/>
        <w:topLinePunct w:val="0"/>
        <w:autoSpaceDE/>
        <w:autoSpaceDN/>
        <w:bidi w:val="0"/>
        <w:adjustRightInd/>
        <w:snapToGrid/>
        <w:spacing w:beforeAutospacing="0" w:after="0" w:afterAutospacing="0" w:line="360" w:lineRule="auto"/>
        <w:ind w:left="840" w:leftChars="0" w:right="0" w:rightChars="0" w:hanging="420" w:firstLineChars="0"/>
        <w:textAlignment w:val="auto"/>
        <w:rPr>
          <w:rFonts w:hint="default" w:ascii="Times New Roman Regular" w:hAnsi="Times New Roman Regular" w:cs="Times New Roman Regular" w:eastAsiaTheme="majorEastAsia"/>
          <w:b w:val="0"/>
          <w:color w:val="auto"/>
          <w:sz w:val="24"/>
          <w:szCs w:val="24"/>
        </w:rPr>
      </w:pPr>
      <w:r>
        <w:rPr>
          <w:rFonts w:hint="default" w:ascii="Times New Roman Regular" w:hAnsi="Times New Roman Regular" w:cs="Times New Roman Regular" w:eastAsiaTheme="majorEastAsia"/>
          <w:b w:val="0"/>
          <w:color w:val="auto"/>
          <w:sz w:val="24"/>
          <w:szCs w:val="24"/>
        </w:rPr>
        <w:t>ICH是由欧盟、美国、日本三方成员国在1990年发起，旨在使新药申报技术要求趋向协调、一致，从而节约研发和注册成本，使患者能更快使用国际新药。</w:t>
      </w:r>
    </w:p>
    <w:p w14:paraId="31AD8173">
      <w:pPr>
        <w:pStyle w:val="2"/>
        <w:keepNext w:val="0"/>
        <w:keepLines w:val="0"/>
        <w:pageBreakBefore w:val="0"/>
        <w:widowControl/>
        <w:numPr>
          <w:ilvl w:val="0"/>
          <w:numId w:val="3"/>
        </w:numPr>
        <w:suppressLineNumbers w:val="0"/>
        <w:kinsoku/>
        <w:wordWrap w:val="0"/>
        <w:overflowPunct/>
        <w:topLinePunct w:val="0"/>
        <w:autoSpaceDE/>
        <w:autoSpaceDN/>
        <w:bidi w:val="0"/>
        <w:adjustRightInd/>
        <w:snapToGrid/>
        <w:spacing w:beforeAutospacing="0" w:after="0" w:afterAutospacing="0" w:line="360" w:lineRule="auto"/>
        <w:ind w:left="840" w:leftChars="0" w:right="0" w:rightChars="0" w:hanging="420" w:firstLineChars="0"/>
        <w:textAlignment w:val="auto"/>
        <w:rPr>
          <w:rFonts w:hint="default" w:ascii="Times New Roman Regular" w:hAnsi="Times New Roman Regular" w:cs="Times New Roman Regular" w:eastAsiaTheme="majorEastAsia"/>
          <w:b w:val="0"/>
          <w:color w:val="auto"/>
          <w:sz w:val="24"/>
          <w:szCs w:val="24"/>
        </w:rPr>
      </w:pPr>
      <w:r>
        <w:rPr>
          <w:rFonts w:hint="default" w:ascii="Times New Roman Regular" w:hAnsi="Times New Roman Regular" w:cs="Times New Roman Regular" w:eastAsiaTheme="majorEastAsia"/>
          <w:b w:val="0"/>
          <w:color w:val="auto"/>
          <w:sz w:val="24"/>
          <w:szCs w:val="24"/>
        </w:rPr>
        <w:t>我国于2017年加入ICH并于2018年当选为ICH管理委员会成员。ICH指导原则在我国的落地实施推动了我国药品注册标准与国际药品注册标准全面接轨，不仅使我国和美国创新药上市审批时间差由5~7年缩短至接近同步，而且也迫使我国制药企业提高了创新药的研发能力</w:t>
      </w:r>
      <w:r>
        <w:rPr>
          <w:rFonts w:hint="eastAsia" w:ascii="Times New Roman Regular" w:hAnsi="Times New Roman Regular" w:cs="Times New Roman Regular" w:eastAsiaTheme="majorEastAsia"/>
          <w:b w:val="0"/>
          <w:color w:val="auto"/>
          <w:sz w:val="24"/>
          <w:szCs w:val="24"/>
          <w:lang w:eastAsia="zh-CN"/>
        </w:rPr>
        <w:t>。</w:t>
      </w:r>
    </w:p>
    <w:p w14:paraId="44B52C37">
      <w:pPr>
        <w:pStyle w:val="2"/>
        <w:keepNext w:val="0"/>
        <w:keepLines w:val="0"/>
        <w:pageBreakBefore w:val="0"/>
        <w:widowControl/>
        <w:numPr>
          <w:ilvl w:val="0"/>
          <w:numId w:val="1"/>
        </w:numPr>
        <w:suppressLineNumbers w:val="0"/>
        <w:kinsoku/>
        <w:wordWrap w:val="0"/>
        <w:overflowPunct/>
        <w:topLinePunct w:val="0"/>
        <w:autoSpaceDE/>
        <w:autoSpaceDN/>
        <w:bidi w:val="0"/>
        <w:adjustRightInd/>
        <w:snapToGrid/>
        <w:spacing w:beforeAutospacing="0" w:after="0" w:afterAutospacing="0" w:line="360" w:lineRule="auto"/>
        <w:ind w:left="425" w:leftChars="0" w:hanging="425" w:firstLineChars="0"/>
        <w:jc w:val="left"/>
        <w:textAlignment w:val="auto"/>
        <w:rPr>
          <w:rStyle w:val="5"/>
          <w:rFonts w:hint="default" w:ascii="Times New Roman Regular" w:hAnsi="Times New Roman Regular" w:cs="Times New Roman Regular" w:eastAsiaTheme="majorEastAsia"/>
          <w:b/>
          <w:bCs/>
          <w:color w:val="auto"/>
          <w:sz w:val="24"/>
          <w:szCs w:val="24"/>
          <w:lang w:val="en-US" w:eastAsia="zh-CN"/>
        </w:rPr>
      </w:pPr>
      <w:r>
        <w:rPr>
          <w:rStyle w:val="5"/>
          <w:rFonts w:hint="default" w:ascii="Times New Roman Regular" w:hAnsi="Times New Roman Regular" w:cs="Times New Roman Regular" w:eastAsiaTheme="majorEastAsia"/>
          <w:b/>
          <w:bCs/>
          <w:color w:val="auto"/>
          <w:sz w:val="24"/>
          <w:szCs w:val="24"/>
          <w:lang w:val="en-US" w:eastAsia="zh-CN"/>
        </w:rPr>
        <w:t>药物临床试验改革加速创新药开发进度</w:t>
      </w:r>
    </w:p>
    <w:p w14:paraId="66C882CF">
      <w:pPr>
        <w:pStyle w:val="2"/>
        <w:keepNext w:val="0"/>
        <w:keepLines w:val="0"/>
        <w:pageBreakBefore w:val="0"/>
        <w:widowControl/>
        <w:numPr>
          <w:ilvl w:val="0"/>
          <w:numId w:val="3"/>
        </w:numPr>
        <w:suppressLineNumbers w:val="0"/>
        <w:kinsoku/>
        <w:wordWrap w:val="0"/>
        <w:overflowPunct/>
        <w:topLinePunct w:val="0"/>
        <w:autoSpaceDE/>
        <w:autoSpaceDN/>
        <w:bidi w:val="0"/>
        <w:adjustRightInd/>
        <w:snapToGrid/>
        <w:spacing w:beforeAutospacing="0" w:after="0" w:afterAutospacing="0" w:line="360" w:lineRule="auto"/>
        <w:ind w:left="840" w:leftChars="0" w:right="0" w:rightChars="0" w:hanging="420" w:firstLineChars="0"/>
        <w:jc w:val="left"/>
        <w:textAlignment w:val="auto"/>
        <w:rPr>
          <w:rFonts w:hint="default" w:ascii="Times New Roman Regular" w:hAnsi="Times New Roman Regular" w:cs="Times New Roman Regular" w:eastAsiaTheme="majorEastAsia"/>
          <w:b w:val="0"/>
          <w:color w:val="auto"/>
          <w:sz w:val="24"/>
          <w:szCs w:val="24"/>
        </w:rPr>
      </w:pPr>
      <w:r>
        <w:rPr>
          <w:rFonts w:hint="default" w:ascii="Times New Roman Regular" w:hAnsi="Times New Roman Regular" w:cs="Times New Roman Regular" w:eastAsiaTheme="majorEastAsia"/>
          <w:b w:val="0"/>
          <w:color w:val="auto"/>
          <w:sz w:val="24"/>
          <w:szCs w:val="24"/>
        </w:rPr>
        <w:t>2019版《药品管理法》中规定，药物临床试验机构由审批式管理修改为备案式管理，并在《药物临床试验机构管理规定》中明确了备案工作的程序，从而扩大了临床供给侧，满足日益增长的药物研发需求。与此同时也转变了临床试验管理的责任主体，使更多的医疗机构参与到创新药的开发工作中，使药品临床研究更加规范、科学和有效。</w:t>
      </w:r>
    </w:p>
    <w:p w14:paraId="00DA663A">
      <w:pPr>
        <w:pStyle w:val="2"/>
        <w:keepNext w:val="0"/>
        <w:keepLines w:val="0"/>
        <w:pageBreakBefore w:val="0"/>
        <w:widowControl/>
        <w:numPr>
          <w:ilvl w:val="0"/>
          <w:numId w:val="3"/>
        </w:numPr>
        <w:suppressLineNumbers w:val="0"/>
        <w:kinsoku/>
        <w:wordWrap w:val="0"/>
        <w:overflowPunct/>
        <w:topLinePunct w:val="0"/>
        <w:autoSpaceDE/>
        <w:autoSpaceDN/>
        <w:bidi w:val="0"/>
        <w:adjustRightInd/>
        <w:snapToGrid/>
        <w:spacing w:beforeAutospacing="0" w:after="0" w:afterAutospacing="0" w:line="360" w:lineRule="auto"/>
        <w:ind w:left="840" w:leftChars="0" w:right="0" w:rightChars="0" w:hanging="420" w:firstLineChars="0"/>
        <w:jc w:val="left"/>
        <w:textAlignment w:val="auto"/>
        <w:rPr>
          <w:rFonts w:hint="default" w:ascii="Times New Roman Regular" w:hAnsi="Times New Roman Regular" w:cs="Times New Roman Regular" w:eastAsiaTheme="majorEastAsia"/>
          <w:b w:val="0"/>
          <w:color w:val="auto"/>
          <w:sz w:val="24"/>
          <w:szCs w:val="24"/>
        </w:rPr>
      </w:pPr>
      <w:r>
        <w:rPr>
          <w:rFonts w:hint="default" w:ascii="Times New Roman Regular" w:hAnsi="Times New Roman Regular" w:cs="Times New Roman Regular" w:eastAsiaTheme="majorEastAsia"/>
          <w:b w:val="0"/>
          <w:color w:val="auto"/>
          <w:sz w:val="24"/>
          <w:szCs w:val="24"/>
        </w:rPr>
        <w:t>此外，新版《药品管理法》也将临床试验由申请审批制调整为到期默示许可制，并确定了具体的默示许可日期为自受理临床试验申请之日起60个工作日内决定是否同意并通知临床试验申办者，逾期未通知则视为同意。这一制度有效缓解了临床试验审批时间过长的现状，提高了药品开发速度。</w:t>
      </w:r>
    </w:p>
    <w:p w14:paraId="12874C35">
      <w:pPr>
        <w:pStyle w:val="2"/>
        <w:keepNext w:val="0"/>
        <w:keepLines w:val="0"/>
        <w:pageBreakBefore w:val="0"/>
        <w:widowControl/>
        <w:numPr>
          <w:ilvl w:val="0"/>
          <w:numId w:val="3"/>
        </w:numPr>
        <w:suppressLineNumbers w:val="0"/>
        <w:kinsoku/>
        <w:wordWrap w:val="0"/>
        <w:overflowPunct/>
        <w:topLinePunct w:val="0"/>
        <w:autoSpaceDE/>
        <w:autoSpaceDN/>
        <w:bidi w:val="0"/>
        <w:adjustRightInd/>
        <w:snapToGrid/>
        <w:spacing w:beforeAutospacing="0" w:after="0" w:afterAutospacing="0" w:line="360" w:lineRule="auto"/>
        <w:ind w:left="840" w:leftChars="0" w:right="0" w:rightChars="0" w:hanging="420" w:firstLineChars="0"/>
        <w:jc w:val="left"/>
        <w:textAlignment w:val="auto"/>
        <w:rPr>
          <w:rFonts w:hint="default" w:ascii="Times New Roman Regular" w:hAnsi="Times New Roman Regular" w:cs="Times New Roman Regular" w:eastAsiaTheme="majorEastAsia"/>
          <w:b w:val="0"/>
          <w:color w:val="auto"/>
          <w:sz w:val="24"/>
          <w:szCs w:val="24"/>
        </w:rPr>
      </w:pPr>
      <w:r>
        <w:rPr>
          <w:rFonts w:hint="default" w:ascii="Times New Roman Regular" w:hAnsi="Times New Roman Regular" w:cs="Times New Roman Regular" w:eastAsiaTheme="majorEastAsia"/>
          <w:b w:val="0"/>
          <w:color w:val="auto"/>
          <w:sz w:val="24"/>
          <w:szCs w:val="24"/>
        </w:rPr>
        <w:t>2018年国家药品监督管理局药品审评中心（CDE）发布的《接受药品境外临床试验数据的技术指导原则》、2020年发布的《境外已上市境内未上市药品临床技术要求》和2021年发布的《境外已上市境内未上市化学药品药学研究与评价技术要求》逐步地明确了接受境外临床试验数据支持国内上市注册的细则，从而提高了临床数据的利用率，有力地促进了创新药研发，加速了创新药在国内的上市。</w:t>
      </w:r>
    </w:p>
    <w:p w14:paraId="0E800DC9">
      <w:pPr>
        <w:pStyle w:val="2"/>
        <w:keepNext w:val="0"/>
        <w:keepLines w:val="0"/>
        <w:pageBreakBefore w:val="0"/>
        <w:widowControl/>
        <w:numPr>
          <w:ilvl w:val="0"/>
          <w:numId w:val="1"/>
        </w:numPr>
        <w:suppressLineNumbers w:val="0"/>
        <w:kinsoku/>
        <w:wordWrap w:val="0"/>
        <w:overflowPunct/>
        <w:topLinePunct w:val="0"/>
        <w:autoSpaceDE/>
        <w:autoSpaceDN/>
        <w:bidi w:val="0"/>
        <w:adjustRightInd/>
        <w:snapToGrid/>
        <w:spacing w:beforeAutospacing="0" w:after="0" w:afterAutospacing="0" w:line="360" w:lineRule="auto"/>
        <w:ind w:left="425" w:leftChars="0" w:hanging="425" w:firstLineChars="0"/>
        <w:jc w:val="left"/>
        <w:textAlignment w:val="auto"/>
        <w:rPr>
          <w:rStyle w:val="5"/>
          <w:rFonts w:hint="default" w:ascii="Times New Roman Regular" w:hAnsi="Times New Roman Regular" w:cs="Times New Roman Regular" w:eastAsiaTheme="majorEastAsia"/>
          <w:b/>
          <w:bCs/>
          <w:color w:val="auto"/>
          <w:sz w:val="24"/>
          <w:szCs w:val="24"/>
          <w:lang w:val="en-US" w:eastAsia="zh-CN"/>
        </w:rPr>
      </w:pPr>
      <w:r>
        <w:rPr>
          <w:rStyle w:val="5"/>
          <w:rFonts w:hint="default" w:ascii="Times New Roman Regular" w:hAnsi="Times New Roman Regular" w:cs="Times New Roman Regular" w:eastAsiaTheme="majorEastAsia"/>
          <w:b/>
          <w:bCs/>
          <w:color w:val="auto"/>
          <w:sz w:val="24"/>
          <w:szCs w:val="24"/>
          <w:lang w:val="en-US" w:eastAsia="zh-CN"/>
        </w:rPr>
        <w:t>沟通交流制度完善降低创新药研发风险</w:t>
      </w:r>
    </w:p>
    <w:p w14:paraId="3D855C08">
      <w:pPr>
        <w:pStyle w:val="2"/>
        <w:keepNext w:val="0"/>
        <w:keepLines w:val="0"/>
        <w:pageBreakBefore w:val="0"/>
        <w:widowControl/>
        <w:numPr>
          <w:ilvl w:val="0"/>
          <w:numId w:val="4"/>
        </w:numPr>
        <w:suppressLineNumbers w:val="0"/>
        <w:kinsoku/>
        <w:wordWrap w:val="0"/>
        <w:overflowPunct/>
        <w:topLinePunct w:val="0"/>
        <w:autoSpaceDE/>
        <w:autoSpaceDN/>
        <w:bidi w:val="0"/>
        <w:adjustRightInd/>
        <w:snapToGrid/>
        <w:spacing w:beforeAutospacing="0" w:after="0" w:afterAutospacing="0" w:line="360" w:lineRule="auto"/>
        <w:ind w:left="840" w:leftChars="0" w:right="0" w:rightChars="0" w:hanging="420" w:firstLineChars="0"/>
        <w:textAlignment w:val="auto"/>
        <w:rPr>
          <w:rFonts w:hint="default" w:ascii="Times New Roman Regular" w:hAnsi="Times New Roman Regular" w:cs="Times New Roman Regular" w:eastAsiaTheme="majorEastAsia"/>
          <w:b w:val="0"/>
          <w:color w:val="auto"/>
          <w:sz w:val="24"/>
          <w:szCs w:val="24"/>
        </w:rPr>
      </w:pPr>
      <w:r>
        <w:rPr>
          <w:rFonts w:hint="default" w:ascii="Times New Roman Regular" w:hAnsi="Times New Roman Regular" w:cs="Times New Roman Regular" w:eastAsiaTheme="majorEastAsia"/>
          <w:b w:val="0"/>
          <w:color w:val="auto"/>
          <w:sz w:val="24"/>
          <w:szCs w:val="24"/>
        </w:rPr>
        <w:t>沟通交流在新药注册申请中起着重要的作用，良好的沟通渠道可以有效降低和规避药物研发的风险，提高审评效率和透明度。</w:t>
      </w:r>
    </w:p>
    <w:p w14:paraId="21761B86">
      <w:pPr>
        <w:pStyle w:val="2"/>
        <w:keepNext w:val="0"/>
        <w:keepLines w:val="0"/>
        <w:pageBreakBefore w:val="0"/>
        <w:widowControl/>
        <w:numPr>
          <w:ilvl w:val="0"/>
          <w:numId w:val="4"/>
        </w:numPr>
        <w:suppressLineNumbers w:val="0"/>
        <w:kinsoku/>
        <w:wordWrap w:val="0"/>
        <w:overflowPunct/>
        <w:topLinePunct w:val="0"/>
        <w:autoSpaceDE/>
        <w:autoSpaceDN/>
        <w:bidi w:val="0"/>
        <w:adjustRightInd/>
        <w:snapToGrid/>
        <w:spacing w:beforeAutospacing="0" w:after="0" w:afterAutospacing="0" w:line="360" w:lineRule="auto"/>
        <w:ind w:left="840" w:leftChars="0" w:right="0" w:rightChars="0" w:hanging="420" w:firstLineChars="0"/>
        <w:textAlignment w:val="auto"/>
        <w:rPr>
          <w:rFonts w:hint="default" w:ascii="Times New Roman Regular" w:hAnsi="Times New Roman Regular" w:cs="Times New Roman Regular" w:eastAsiaTheme="majorEastAsia"/>
          <w:b w:val="0"/>
          <w:color w:val="auto"/>
          <w:sz w:val="24"/>
          <w:szCs w:val="24"/>
        </w:rPr>
      </w:pPr>
      <w:r>
        <w:rPr>
          <w:rFonts w:hint="eastAsia" w:ascii="Times New Roman Regular" w:hAnsi="Times New Roman Regular" w:cs="Times New Roman Regular" w:eastAsiaTheme="majorEastAsia"/>
          <w:b w:val="0"/>
          <w:color w:val="auto"/>
          <w:sz w:val="24"/>
          <w:szCs w:val="24"/>
          <w:lang w:val="en-US" w:eastAsia="zh-CN"/>
        </w:rPr>
        <w:t>药品审评中心（</w:t>
      </w:r>
      <w:r>
        <w:rPr>
          <w:rFonts w:hint="default" w:ascii="Times New Roman Regular" w:hAnsi="Times New Roman Regular" w:cs="Times New Roman Regular" w:eastAsiaTheme="majorEastAsia"/>
          <w:b w:val="0"/>
          <w:color w:val="auto"/>
          <w:sz w:val="24"/>
          <w:szCs w:val="24"/>
        </w:rPr>
        <w:t>CDE</w:t>
      </w:r>
      <w:r>
        <w:rPr>
          <w:rFonts w:hint="eastAsia" w:ascii="Times New Roman Regular" w:hAnsi="Times New Roman Regular" w:cs="Times New Roman Regular" w:eastAsiaTheme="majorEastAsia"/>
          <w:b w:val="0"/>
          <w:color w:val="auto"/>
          <w:sz w:val="24"/>
          <w:szCs w:val="24"/>
          <w:lang w:eastAsia="zh-CN"/>
        </w:rPr>
        <w:t>）</w:t>
      </w:r>
      <w:r>
        <w:rPr>
          <w:rFonts w:hint="default" w:ascii="Times New Roman Regular" w:hAnsi="Times New Roman Regular" w:cs="Times New Roman Regular" w:eastAsiaTheme="majorEastAsia"/>
          <w:b w:val="0"/>
          <w:color w:val="auto"/>
          <w:sz w:val="24"/>
          <w:szCs w:val="24"/>
        </w:rPr>
        <w:t>一直将对外沟通交流作为重要工作之一，2015年以来发布多项政策法规，规范完善申请人与审评机构的沟通机制。</w:t>
      </w:r>
    </w:p>
    <w:p w14:paraId="23BF6C81">
      <w:pPr>
        <w:pStyle w:val="2"/>
        <w:keepNext w:val="0"/>
        <w:keepLines w:val="0"/>
        <w:pageBreakBefore w:val="0"/>
        <w:widowControl/>
        <w:numPr>
          <w:ilvl w:val="0"/>
          <w:numId w:val="4"/>
        </w:numPr>
        <w:suppressLineNumbers w:val="0"/>
        <w:kinsoku/>
        <w:wordWrap w:val="0"/>
        <w:overflowPunct/>
        <w:topLinePunct w:val="0"/>
        <w:autoSpaceDE/>
        <w:autoSpaceDN/>
        <w:bidi w:val="0"/>
        <w:adjustRightInd/>
        <w:snapToGrid/>
        <w:spacing w:beforeAutospacing="0" w:after="0" w:afterAutospacing="0" w:line="360" w:lineRule="auto"/>
        <w:ind w:left="840" w:leftChars="0" w:right="0" w:rightChars="0" w:hanging="420" w:firstLineChars="0"/>
        <w:textAlignment w:val="auto"/>
        <w:rPr>
          <w:rFonts w:hint="default" w:ascii="Times New Roman Regular" w:hAnsi="Times New Roman Regular" w:cs="Times New Roman Regular" w:eastAsiaTheme="majorEastAsia"/>
          <w:b w:val="0"/>
          <w:color w:val="auto"/>
          <w:sz w:val="24"/>
          <w:szCs w:val="24"/>
        </w:rPr>
      </w:pPr>
      <w:r>
        <w:rPr>
          <w:rFonts w:hint="default" w:ascii="Times New Roman Regular" w:hAnsi="Times New Roman Regular" w:cs="Times New Roman Regular" w:eastAsiaTheme="majorEastAsia"/>
          <w:b w:val="0"/>
          <w:color w:val="auto"/>
          <w:sz w:val="24"/>
          <w:szCs w:val="24"/>
        </w:rPr>
        <w:t>2016年国家药品监督管理局发布了《药物研发与技术审评沟通交流管理办法（试行）》细则，2020年《药品注册管理办法》将沟通制度纳入药品注册管理的基本制度，2021年《国务院办公厅关于全面加强药品监管能力建设的实施意见》中又增加了创新药品会议沟通的频次要求。为鼓励创新、提升服务质量，将服务范围覆盖面扩大到国家药品监督管理局药品审评检查长三角分中心、大湾区分中心。</w:t>
      </w:r>
    </w:p>
    <w:p w14:paraId="1B80E861">
      <w:pPr>
        <w:pStyle w:val="2"/>
        <w:keepNext w:val="0"/>
        <w:keepLines w:val="0"/>
        <w:pageBreakBefore w:val="0"/>
        <w:widowControl/>
        <w:numPr>
          <w:ilvl w:val="0"/>
          <w:numId w:val="4"/>
        </w:numPr>
        <w:suppressLineNumbers w:val="0"/>
        <w:kinsoku/>
        <w:wordWrap w:val="0"/>
        <w:overflowPunct/>
        <w:topLinePunct w:val="0"/>
        <w:autoSpaceDE/>
        <w:autoSpaceDN/>
        <w:bidi w:val="0"/>
        <w:adjustRightInd w:val="0"/>
        <w:snapToGrid w:val="0"/>
        <w:spacing w:beforeAutospacing="0" w:after="0" w:afterAutospacing="0" w:line="360" w:lineRule="auto"/>
        <w:ind w:left="839" w:leftChars="0" w:right="0" w:rightChars="0" w:hanging="420" w:firstLineChars="0"/>
        <w:jc w:val="left"/>
        <w:textAlignment w:val="auto"/>
        <w:rPr>
          <w:rFonts w:hint="default" w:ascii="Times New Roman Regular" w:hAnsi="Times New Roman Regular" w:cs="Times New Roman Regular" w:eastAsiaTheme="majorEastAsia"/>
          <w:b w:val="0"/>
          <w:color w:val="auto"/>
          <w:sz w:val="24"/>
          <w:szCs w:val="24"/>
        </w:rPr>
      </w:pPr>
      <w:r>
        <w:rPr>
          <w:rFonts w:hint="default" w:ascii="Times New Roman Regular" w:hAnsi="Times New Roman Regular" w:cs="Times New Roman Regular" w:eastAsiaTheme="majorEastAsia"/>
          <w:b w:val="0"/>
          <w:color w:val="auto"/>
          <w:sz w:val="24"/>
          <w:szCs w:val="24"/>
        </w:rPr>
        <w:t>此外针对中药创新药、单臂试验抗肿瘤创新药、化学药创新药Ⅰ期临床试验等也建立了细化的指导原则。</w:t>
      </w:r>
    </w:p>
    <w:p w14:paraId="42718D21">
      <w:pPr>
        <w:pStyle w:val="2"/>
        <w:keepNext w:val="0"/>
        <w:keepLines w:val="0"/>
        <w:pageBreakBefore w:val="0"/>
        <w:widowControl/>
        <w:numPr>
          <w:ilvl w:val="0"/>
          <w:numId w:val="1"/>
        </w:numPr>
        <w:suppressLineNumbers w:val="0"/>
        <w:kinsoku/>
        <w:wordWrap w:val="0"/>
        <w:overflowPunct/>
        <w:topLinePunct w:val="0"/>
        <w:autoSpaceDE/>
        <w:autoSpaceDN/>
        <w:bidi w:val="0"/>
        <w:adjustRightInd/>
        <w:snapToGrid/>
        <w:spacing w:beforeAutospacing="0" w:after="0" w:afterAutospacing="0" w:line="360" w:lineRule="auto"/>
        <w:ind w:left="425" w:leftChars="0" w:hanging="425" w:firstLineChars="0"/>
        <w:jc w:val="left"/>
        <w:textAlignment w:val="auto"/>
        <w:rPr>
          <w:rStyle w:val="5"/>
          <w:rFonts w:hint="default" w:ascii="Times New Roman Regular" w:hAnsi="Times New Roman Regular" w:cs="Times New Roman Regular" w:eastAsiaTheme="majorEastAsia"/>
          <w:b/>
          <w:bCs/>
          <w:color w:val="auto"/>
          <w:sz w:val="24"/>
          <w:szCs w:val="24"/>
          <w:lang w:val="en-US" w:eastAsia="zh-CN"/>
        </w:rPr>
      </w:pPr>
      <w:r>
        <w:rPr>
          <w:rStyle w:val="5"/>
          <w:rFonts w:hint="default" w:ascii="Times New Roman Regular" w:hAnsi="Times New Roman Regular" w:cs="Times New Roman Regular" w:eastAsiaTheme="majorEastAsia"/>
          <w:b/>
          <w:bCs/>
          <w:color w:val="auto"/>
          <w:sz w:val="24"/>
          <w:szCs w:val="24"/>
          <w:lang w:val="en-US" w:eastAsia="zh-CN"/>
        </w:rPr>
        <w:t>优先审评审批制度改革提升创新药上市速度</w:t>
      </w:r>
    </w:p>
    <w:p w14:paraId="3BA43C6E">
      <w:pPr>
        <w:pStyle w:val="2"/>
        <w:keepNext w:val="0"/>
        <w:keepLines w:val="0"/>
        <w:pageBreakBefore w:val="0"/>
        <w:widowControl/>
        <w:numPr>
          <w:ilvl w:val="0"/>
          <w:numId w:val="5"/>
        </w:numPr>
        <w:suppressLineNumbers w:val="0"/>
        <w:kinsoku/>
        <w:wordWrap w:val="0"/>
        <w:overflowPunct/>
        <w:topLinePunct w:val="0"/>
        <w:autoSpaceDE/>
        <w:autoSpaceDN/>
        <w:bidi w:val="0"/>
        <w:adjustRightInd/>
        <w:snapToGrid/>
        <w:spacing w:beforeAutospacing="0" w:after="0" w:afterAutospacing="0" w:line="360" w:lineRule="auto"/>
        <w:ind w:left="840" w:leftChars="0" w:hanging="420" w:firstLineChars="0"/>
        <w:textAlignment w:val="auto"/>
        <w:rPr>
          <w:rFonts w:hint="default" w:ascii="Times New Roman Regular" w:hAnsi="Times New Roman Regular" w:cs="Times New Roman Regular" w:eastAsiaTheme="majorEastAsia"/>
          <w:b w:val="0"/>
          <w:color w:val="auto"/>
          <w:sz w:val="24"/>
          <w:szCs w:val="24"/>
        </w:rPr>
      </w:pPr>
      <w:r>
        <w:rPr>
          <w:rFonts w:hint="default" w:ascii="Times New Roman Regular" w:hAnsi="Times New Roman Regular" w:cs="Times New Roman Regular" w:eastAsiaTheme="majorEastAsia"/>
          <w:b w:val="0"/>
          <w:color w:val="auto"/>
          <w:sz w:val="24"/>
          <w:szCs w:val="24"/>
        </w:rPr>
        <w:t>2020年版《药品注册管理办法》中针对药品加快上市注册程序增设了1个章节，设立突破性治疗药物程序、附条件批准程序、优先审评审批程序和特别审批程序4个加快通道，这些做法与国际先进做法接轨。</w:t>
      </w:r>
    </w:p>
    <w:p w14:paraId="7775F0A4">
      <w:pPr>
        <w:pStyle w:val="2"/>
        <w:keepNext w:val="0"/>
        <w:keepLines w:val="0"/>
        <w:pageBreakBefore w:val="0"/>
        <w:widowControl/>
        <w:numPr>
          <w:ilvl w:val="0"/>
          <w:numId w:val="5"/>
        </w:numPr>
        <w:suppressLineNumbers w:val="0"/>
        <w:kinsoku/>
        <w:wordWrap w:val="0"/>
        <w:overflowPunct/>
        <w:topLinePunct w:val="0"/>
        <w:autoSpaceDE/>
        <w:autoSpaceDN/>
        <w:bidi w:val="0"/>
        <w:adjustRightInd/>
        <w:snapToGrid/>
        <w:spacing w:beforeAutospacing="0" w:after="0" w:afterAutospacing="0" w:line="360" w:lineRule="auto"/>
        <w:ind w:left="840" w:leftChars="0" w:hanging="420" w:firstLineChars="0"/>
        <w:textAlignment w:val="auto"/>
        <w:rPr>
          <w:rFonts w:hint="default" w:ascii="Times New Roman Regular" w:hAnsi="Times New Roman Regular" w:cs="Times New Roman Regular" w:eastAsiaTheme="majorEastAsia"/>
          <w:b w:val="0"/>
          <w:color w:val="auto"/>
          <w:sz w:val="24"/>
          <w:szCs w:val="24"/>
        </w:rPr>
      </w:pPr>
      <w:r>
        <w:rPr>
          <w:rFonts w:hint="default" w:ascii="Times New Roman Regular" w:hAnsi="Times New Roman Regular" w:cs="Times New Roman Regular" w:eastAsiaTheme="majorEastAsia"/>
          <w:b w:val="0"/>
          <w:color w:val="auto"/>
          <w:sz w:val="24"/>
          <w:szCs w:val="24"/>
        </w:rPr>
        <w:t>随后国家药品监督管理局配套发布了《突破性治疗药物审评工作程序（试行）》、《药品附条件批准上市申请审评审批工作程序（试行）》、《药品上市许可优先审评审批工作程序（试行）》以配合原国家食品药品监督管理总局发布的《药品特别审批程序》。建立4条加快药物上市注册通道，为鼓励中国新药创制、加快创新药上市迈出实质性的一步。</w:t>
      </w:r>
    </w:p>
    <w:p w14:paraId="729FC2EC">
      <w:pPr>
        <w:pStyle w:val="2"/>
        <w:keepNext w:val="0"/>
        <w:keepLines w:val="0"/>
        <w:pageBreakBefore w:val="0"/>
        <w:widowControl/>
        <w:numPr>
          <w:ilvl w:val="0"/>
          <w:numId w:val="5"/>
        </w:numPr>
        <w:suppressLineNumbers w:val="0"/>
        <w:kinsoku/>
        <w:wordWrap w:val="0"/>
        <w:overflowPunct/>
        <w:topLinePunct w:val="0"/>
        <w:autoSpaceDE/>
        <w:autoSpaceDN/>
        <w:bidi w:val="0"/>
        <w:adjustRightInd/>
        <w:snapToGrid/>
        <w:spacing w:beforeAutospacing="0" w:after="0" w:afterAutospacing="0" w:line="360" w:lineRule="auto"/>
        <w:ind w:left="840" w:leftChars="0" w:hanging="420" w:firstLineChars="0"/>
        <w:textAlignment w:val="auto"/>
        <w:rPr>
          <w:rFonts w:hint="default" w:ascii="Times New Roman Regular" w:hAnsi="Times New Roman Regular" w:cs="Times New Roman Regular" w:eastAsiaTheme="majorEastAsia"/>
          <w:b w:val="0"/>
          <w:color w:val="auto"/>
          <w:sz w:val="24"/>
          <w:szCs w:val="24"/>
        </w:rPr>
      </w:pPr>
      <w:r>
        <w:rPr>
          <w:rFonts w:hint="default" w:ascii="Times New Roman Regular" w:hAnsi="Times New Roman Regular" w:cs="Times New Roman Regular" w:eastAsiaTheme="majorEastAsia"/>
          <w:b w:val="0"/>
          <w:color w:val="auto"/>
          <w:sz w:val="24"/>
          <w:szCs w:val="24"/>
        </w:rPr>
        <w:t>同时，将《药品管理法》、《疫苗管理法》及国务院文件中列明的临床急需短缺药、儿童用药、罕见病用药、重大传染病用药、疾病防控急需疫苗和创新疫苗等纳入加快上市注册范围，鼓励研发机构和制药企业研发注册。</w:t>
      </w:r>
    </w:p>
    <w:p w14:paraId="41E9401E">
      <w:pPr>
        <w:pStyle w:val="2"/>
        <w:keepNext w:val="0"/>
        <w:keepLines w:val="0"/>
        <w:pageBreakBefore w:val="0"/>
        <w:widowControl/>
        <w:numPr>
          <w:ilvl w:val="0"/>
          <w:numId w:val="5"/>
        </w:numPr>
        <w:suppressLineNumbers w:val="0"/>
        <w:kinsoku/>
        <w:wordWrap w:val="0"/>
        <w:overflowPunct/>
        <w:topLinePunct w:val="0"/>
        <w:autoSpaceDE/>
        <w:autoSpaceDN/>
        <w:bidi w:val="0"/>
        <w:adjustRightInd/>
        <w:snapToGrid/>
        <w:spacing w:beforeAutospacing="0" w:after="0" w:afterAutospacing="0" w:line="360" w:lineRule="auto"/>
        <w:ind w:left="840" w:leftChars="0" w:hanging="420" w:firstLineChars="0"/>
        <w:textAlignment w:val="auto"/>
        <w:rPr>
          <w:rFonts w:hint="default" w:ascii="Times New Roman Regular" w:hAnsi="Times New Roman Regular" w:cs="Times New Roman Regular" w:eastAsiaTheme="majorEastAsia"/>
          <w:b w:val="0"/>
          <w:color w:val="auto"/>
          <w:sz w:val="24"/>
          <w:szCs w:val="24"/>
        </w:rPr>
      </w:pPr>
      <w:r>
        <w:rPr>
          <w:rFonts w:hint="default" w:ascii="Times New Roman Regular" w:hAnsi="Times New Roman Regular" w:cs="Times New Roman Regular" w:eastAsiaTheme="majorEastAsia"/>
          <w:b w:val="0"/>
          <w:color w:val="auto"/>
          <w:sz w:val="24"/>
          <w:szCs w:val="24"/>
        </w:rPr>
        <w:t>此外，药品审评审批制度的改革也使药物临床试验申请（investigational new drug，IND）和药品上市申请（new drug application，NDA）的审批时间大大缩短。</w:t>
      </w:r>
    </w:p>
    <w:p w14:paraId="502FAB25">
      <w:pPr>
        <w:pStyle w:val="2"/>
        <w:keepNext w:val="0"/>
        <w:keepLines w:val="0"/>
        <w:pageBreakBefore w:val="0"/>
        <w:widowControl/>
        <w:numPr>
          <w:ilvl w:val="0"/>
          <w:numId w:val="1"/>
        </w:numPr>
        <w:suppressLineNumbers w:val="0"/>
        <w:kinsoku/>
        <w:wordWrap w:val="0"/>
        <w:overflowPunct/>
        <w:topLinePunct w:val="0"/>
        <w:autoSpaceDE/>
        <w:autoSpaceDN/>
        <w:bidi w:val="0"/>
        <w:adjustRightInd/>
        <w:snapToGrid/>
        <w:spacing w:beforeAutospacing="0" w:after="0" w:afterAutospacing="0" w:line="360" w:lineRule="auto"/>
        <w:ind w:left="425" w:leftChars="0" w:hanging="425" w:firstLineChars="0"/>
        <w:jc w:val="left"/>
        <w:textAlignment w:val="auto"/>
        <w:rPr>
          <w:rStyle w:val="5"/>
          <w:rFonts w:hint="default" w:ascii="Times New Roman Regular" w:hAnsi="Times New Roman Regular" w:cs="Times New Roman Regular" w:eastAsiaTheme="majorEastAsia"/>
          <w:b/>
          <w:bCs/>
          <w:color w:val="auto"/>
          <w:sz w:val="24"/>
          <w:szCs w:val="24"/>
          <w:lang w:val="en-US" w:eastAsia="zh-CN"/>
        </w:rPr>
      </w:pPr>
      <w:r>
        <w:rPr>
          <w:rStyle w:val="5"/>
          <w:rFonts w:hint="default" w:ascii="Times New Roman Regular" w:hAnsi="Times New Roman Regular" w:cs="Times New Roman Regular" w:eastAsiaTheme="majorEastAsia"/>
          <w:b/>
          <w:bCs/>
          <w:color w:val="auto"/>
          <w:sz w:val="24"/>
          <w:szCs w:val="24"/>
          <w:lang w:val="en-US" w:eastAsia="zh-CN"/>
        </w:rPr>
        <w:t>专利保护期补偿制度为创新药研发保驾护航</w:t>
      </w:r>
    </w:p>
    <w:p w14:paraId="4A83B7EE">
      <w:pPr>
        <w:pStyle w:val="2"/>
        <w:keepNext w:val="0"/>
        <w:keepLines w:val="0"/>
        <w:pageBreakBefore w:val="0"/>
        <w:widowControl/>
        <w:numPr>
          <w:ilvl w:val="0"/>
          <w:numId w:val="5"/>
        </w:numPr>
        <w:suppressLineNumbers w:val="0"/>
        <w:kinsoku/>
        <w:wordWrap w:val="0"/>
        <w:overflowPunct/>
        <w:topLinePunct w:val="0"/>
        <w:autoSpaceDE/>
        <w:autoSpaceDN/>
        <w:bidi w:val="0"/>
        <w:adjustRightInd/>
        <w:snapToGrid/>
        <w:spacing w:beforeAutospacing="0" w:after="0" w:afterAutospacing="0" w:line="360" w:lineRule="auto"/>
        <w:ind w:left="840" w:leftChars="0" w:hanging="420" w:firstLineChars="0"/>
        <w:jc w:val="left"/>
        <w:textAlignment w:val="auto"/>
        <w:rPr>
          <w:rFonts w:hint="default" w:ascii="Times New Roman Regular" w:hAnsi="Times New Roman Regular" w:cs="Times New Roman Regular" w:eastAsiaTheme="majorEastAsia"/>
          <w:b w:val="0"/>
          <w:color w:val="auto"/>
          <w:sz w:val="24"/>
          <w:szCs w:val="24"/>
        </w:rPr>
      </w:pPr>
      <w:r>
        <w:rPr>
          <w:rFonts w:hint="default" w:ascii="Times New Roman Regular" w:hAnsi="Times New Roman Regular" w:cs="Times New Roman Regular" w:eastAsiaTheme="majorEastAsia"/>
          <w:b w:val="0"/>
          <w:color w:val="auto"/>
          <w:sz w:val="24"/>
          <w:szCs w:val="24"/>
        </w:rPr>
        <w:t>随着我国制药企业研发和创新能力的逐步提升，药品专利期限补偿制度被提上议程。2017年《关于深化审评审批制度改革鼓励药品医疗器械创新的意见》提出了开展药品专利期限补偿制度试点的建议。</w:t>
      </w:r>
    </w:p>
    <w:p w14:paraId="1E7CFB94">
      <w:pPr>
        <w:pStyle w:val="2"/>
        <w:keepNext w:val="0"/>
        <w:keepLines w:val="0"/>
        <w:pageBreakBefore w:val="0"/>
        <w:widowControl/>
        <w:numPr>
          <w:ilvl w:val="0"/>
          <w:numId w:val="5"/>
        </w:numPr>
        <w:suppressLineNumbers w:val="0"/>
        <w:kinsoku/>
        <w:wordWrap w:val="0"/>
        <w:overflowPunct/>
        <w:topLinePunct w:val="0"/>
        <w:autoSpaceDE/>
        <w:autoSpaceDN/>
        <w:bidi w:val="0"/>
        <w:adjustRightInd/>
        <w:snapToGrid/>
        <w:spacing w:beforeAutospacing="0" w:after="0" w:afterAutospacing="0" w:line="360" w:lineRule="auto"/>
        <w:ind w:left="840" w:leftChars="0" w:hanging="420" w:firstLineChars="0"/>
        <w:jc w:val="left"/>
        <w:textAlignment w:val="auto"/>
        <w:rPr>
          <w:rFonts w:hint="default" w:ascii="Times New Roman Regular" w:hAnsi="Times New Roman Regular" w:cs="Times New Roman Regular" w:eastAsiaTheme="majorEastAsia"/>
          <w:b w:val="0"/>
          <w:color w:val="auto"/>
          <w:sz w:val="24"/>
          <w:szCs w:val="24"/>
        </w:rPr>
      </w:pPr>
      <w:r>
        <w:rPr>
          <w:rFonts w:hint="default" w:ascii="Times New Roman Regular" w:hAnsi="Times New Roman Regular" w:cs="Times New Roman Regular" w:eastAsiaTheme="majorEastAsia"/>
          <w:b w:val="0"/>
          <w:color w:val="auto"/>
          <w:sz w:val="24"/>
          <w:szCs w:val="24"/>
        </w:rPr>
        <w:t>2021年新版《专利法》中正式建立了专利补偿制度。为补偿新药上市审评审批占用的时间，对在我国获得上市许可的新药相关发明专利，国务院专利行政部门应专利权人的请求给予专利权期限补偿，补偿期限不超过5年，新药批准上市后总有效专利权期限不超过14年。</w:t>
      </w:r>
    </w:p>
    <w:p w14:paraId="63866A2E">
      <w:pPr>
        <w:pStyle w:val="2"/>
        <w:keepNext w:val="0"/>
        <w:keepLines w:val="0"/>
        <w:pageBreakBefore w:val="0"/>
        <w:widowControl/>
        <w:numPr>
          <w:ilvl w:val="0"/>
          <w:numId w:val="5"/>
        </w:numPr>
        <w:suppressLineNumbers w:val="0"/>
        <w:kinsoku/>
        <w:wordWrap w:val="0"/>
        <w:overflowPunct/>
        <w:topLinePunct w:val="0"/>
        <w:autoSpaceDE/>
        <w:autoSpaceDN/>
        <w:bidi w:val="0"/>
        <w:adjustRightInd/>
        <w:snapToGrid/>
        <w:spacing w:beforeAutospacing="0" w:after="0" w:afterAutospacing="0" w:line="360" w:lineRule="auto"/>
        <w:ind w:left="840" w:leftChars="0" w:hanging="420" w:firstLineChars="0"/>
        <w:jc w:val="left"/>
        <w:textAlignment w:val="auto"/>
        <w:rPr>
          <w:rFonts w:hint="default" w:ascii="Times New Roman Regular" w:hAnsi="Times New Roman Regular" w:cs="Times New Roman Regular" w:eastAsiaTheme="majorEastAsia"/>
          <w:b w:val="0"/>
          <w:color w:val="auto"/>
          <w:sz w:val="24"/>
          <w:szCs w:val="24"/>
        </w:rPr>
      </w:pPr>
      <w:r>
        <w:rPr>
          <w:rFonts w:hint="default" w:ascii="Times New Roman Regular" w:hAnsi="Times New Roman Regular" w:cs="Times New Roman Regular" w:eastAsiaTheme="majorEastAsia"/>
          <w:b w:val="0"/>
          <w:color w:val="auto"/>
          <w:sz w:val="24"/>
          <w:szCs w:val="24"/>
        </w:rPr>
        <w:t>新增的药品专利期限补偿制度能够延长创新药企业的利润周期，鼓励国内制药企业进行新药研发并促进创新药尽快在我国上市，这对于激励新药研发投入、提高新药研发水平具有重要意义。</w:t>
      </w:r>
    </w:p>
    <w:p w14:paraId="15F97122">
      <w:pPr>
        <w:pStyle w:val="2"/>
        <w:keepNext w:val="0"/>
        <w:keepLines w:val="0"/>
        <w:pageBreakBefore w:val="0"/>
        <w:widowControl/>
        <w:numPr>
          <w:ilvl w:val="0"/>
          <w:numId w:val="1"/>
        </w:numPr>
        <w:suppressLineNumbers w:val="0"/>
        <w:kinsoku/>
        <w:wordWrap w:val="0"/>
        <w:overflowPunct/>
        <w:topLinePunct w:val="0"/>
        <w:autoSpaceDE/>
        <w:autoSpaceDN/>
        <w:bidi w:val="0"/>
        <w:adjustRightInd/>
        <w:snapToGrid/>
        <w:spacing w:beforeAutospacing="0" w:after="0" w:afterAutospacing="0" w:line="360" w:lineRule="auto"/>
        <w:ind w:left="425" w:leftChars="0" w:hanging="425" w:firstLineChars="0"/>
        <w:jc w:val="left"/>
        <w:textAlignment w:val="auto"/>
        <w:rPr>
          <w:rStyle w:val="5"/>
          <w:rFonts w:hint="default" w:ascii="Times New Roman Regular" w:hAnsi="Times New Roman Regular" w:cs="Times New Roman Regular" w:eastAsiaTheme="majorEastAsia"/>
          <w:b/>
          <w:bCs/>
          <w:color w:val="auto"/>
          <w:sz w:val="24"/>
          <w:szCs w:val="24"/>
          <w:lang w:val="en-US" w:eastAsia="zh-CN"/>
        </w:rPr>
      </w:pPr>
      <w:r>
        <w:rPr>
          <w:rStyle w:val="5"/>
          <w:rFonts w:hint="default" w:ascii="Times New Roman Regular" w:hAnsi="Times New Roman Regular" w:cs="Times New Roman Regular" w:eastAsiaTheme="majorEastAsia"/>
          <w:b/>
          <w:bCs/>
          <w:color w:val="auto"/>
          <w:sz w:val="24"/>
          <w:szCs w:val="24"/>
          <w:lang w:val="en-US" w:eastAsia="zh-CN"/>
        </w:rPr>
        <w:t>医保动态调整纳入更多创新药</w:t>
      </w:r>
    </w:p>
    <w:p w14:paraId="50827A0F">
      <w:pPr>
        <w:pStyle w:val="2"/>
        <w:keepNext w:val="0"/>
        <w:keepLines w:val="0"/>
        <w:pageBreakBefore w:val="0"/>
        <w:widowControl/>
        <w:numPr>
          <w:ilvl w:val="0"/>
          <w:numId w:val="6"/>
        </w:numPr>
        <w:suppressLineNumbers w:val="0"/>
        <w:kinsoku/>
        <w:wordWrap w:val="0"/>
        <w:overflowPunct/>
        <w:topLinePunct w:val="0"/>
        <w:autoSpaceDE/>
        <w:autoSpaceDN/>
        <w:bidi w:val="0"/>
        <w:adjustRightInd/>
        <w:snapToGrid/>
        <w:spacing w:beforeAutospacing="0" w:after="0" w:afterAutospacing="0" w:line="360" w:lineRule="auto"/>
        <w:ind w:left="840" w:leftChars="0" w:hanging="420" w:firstLineChars="0"/>
        <w:textAlignment w:val="auto"/>
        <w:rPr>
          <w:rFonts w:hint="default" w:ascii="Times New Roman Regular" w:hAnsi="Times New Roman Regular" w:cs="Times New Roman Regular" w:eastAsiaTheme="majorEastAsia"/>
          <w:b w:val="0"/>
          <w:color w:val="auto"/>
          <w:sz w:val="24"/>
          <w:szCs w:val="24"/>
        </w:rPr>
      </w:pPr>
      <w:r>
        <w:rPr>
          <w:rFonts w:hint="default" w:ascii="Times New Roman Regular" w:hAnsi="Times New Roman Regular" w:cs="Times New Roman Regular" w:eastAsiaTheme="majorEastAsia"/>
          <w:b w:val="0"/>
          <w:color w:val="auto"/>
          <w:sz w:val="24"/>
          <w:szCs w:val="24"/>
        </w:rPr>
        <w:t>创新药是否能及时纳入医保目录是影响患者最终健康收益的重要环节。近年来，通过医保谈判机制，我国医保目录调整逐渐动态化，在医保基金可承受的前提下，逐步将临床价值高、具有经济性的创新药品纳入医保支付范围。</w:t>
      </w:r>
    </w:p>
    <w:p w14:paraId="3DD7BD4F">
      <w:pPr>
        <w:pStyle w:val="2"/>
        <w:keepNext w:val="0"/>
        <w:keepLines w:val="0"/>
        <w:pageBreakBefore w:val="0"/>
        <w:widowControl/>
        <w:numPr>
          <w:ilvl w:val="0"/>
          <w:numId w:val="6"/>
        </w:numPr>
        <w:suppressLineNumbers w:val="0"/>
        <w:kinsoku/>
        <w:wordWrap w:val="0"/>
        <w:overflowPunct/>
        <w:topLinePunct w:val="0"/>
        <w:autoSpaceDE/>
        <w:autoSpaceDN/>
        <w:bidi w:val="0"/>
        <w:adjustRightInd/>
        <w:snapToGrid/>
        <w:spacing w:beforeAutospacing="0" w:after="0" w:afterAutospacing="0" w:line="360" w:lineRule="auto"/>
        <w:ind w:left="840" w:leftChars="0" w:hanging="420" w:firstLineChars="0"/>
        <w:textAlignment w:val="auto"/>
        <w:rPr>
          <w:rFonts w:hint="default" w:ascii="Times New Roman Regular" w:hAnsi="Times New Roman Regular" w:cs="Times New Roman Regular" w:eastAsiaTheme="majorEastAsia"/>
          <w:b w:val="0"/>
          <w:color w:val="auto"/>
          <w:sz w:val="24"/>
          <w:szCs w:val="24"/>
        </w:rPr>
      </w:pPr>
      <w:r>
        <w:rPr>
          <w:rFonts w:hint="default" w:ascii="Times New Roman Regular" w:hAnsi="Times New Roman Regular" w:cs="Times New Roman Regular" w:eastAsiaTheme="majorEastAsia"/>
          <w:b w:val="0"/>
          <w:color w:val="auto"/>
          <w:sz w:val="24"/>
          <w:szCs w:val="24"/>
        </w:rPr>
        <w:t>截至2021年底，我国已完成了6次国家医保目录准入谈判，机制日益成熟。医保目录准入谈判遴选以临床需求较大、疗效显著的专利药品、创新药品或独家品种为主，凸显了对创新的鼓励导向，大大加速了高价值创新药进入市场的过程，促进创新药市场快速放量，从而使患者受益。</w:t>
      </w:r>
    </w:p>
    <w:p w14:paraId="5C39DC6D">
      <w:pPr>
        <w:pStyle w:val="2"/>
        <w:keepNext w:val="0"/>
        <w:keepLines w:val="0"/>
        <w:pageBreakBefore w:val="0"/>
        <w:widowControl/>
        <w:numPr>
          <w:ilvl w:val="0"/>
          <w:numId w:val="6"/>
        </w:numPr>
        <w:suppressLineNumbers w:val="0"/>
        <w:kinsoku/>
        <w:wordWrap w:val="0"/>
        <w:overflowPunct/>
        <w:topLinePunct w:val="0"/>
        <w:autoSpaceDE/>
        <w:autoSpaceDN/>
        <w:bidi w:val="0"/>
        <w:adjustRightInd/>
        <w:snapToGrid/>
        <w:spacing w:beforeAutospacing="0" w:after="0" w:afterAutospacing="0" w:line="360" w:lineRule="auto"/>
        <w:ind w:left="840" w:leftChars="0" w:hanging="420" w:firstLineChars="0"/>
        <w:textAlignment w:val="auto"/>
        <w:rPr>
          <w:rFonts w:hint="default" w:ascii="Times New Roman Regular" w:hAnsi="Times New Roman Regular" w:cs="Times New Roman Regular" w:eastAsiaTheme="majorEastAsia"/>
          <w:b w:val="0"/>
          <w:color w:val="auto"/>
          <w:sz w:val="24"/>
          <w:szCs w:val="24"/>
        </w:rPr>
      </w:pPr>
      <w:r>
        <w:rPr>
          <w:rFonts w:hint="default" w:ascii="Times New Roman Regular" w:hAnsi="Times New Roman Regular" w:cs="Times New Roman Regular" w:eastAsiaTheme="majorEastAsia"/>
          <w:b w:val="0"/>
          <w:color w:val="auto"/>
          <w:sz w:val="24"/>
          <w:szCs w:val="24"/>
        </w:rPr>
        <w:t>2021年9月国家医保局、国家卫生健康委员会又出台《关于适应国家医保谈判常态化持续做好谈判药品落地工作的通知》，进一步强调谈判常态化的重要性，并且完善配备、采购、结算的政策措施，促进谈判药品落地。</w:t>
      </w:r>
    </w:p>
    <w:p w14:paraId="09412DF5">
      <w:pPr>
        <w:pStyle w:val="2"/>
        <w:keepNext w:val="0"/>
        <w:keepLines w:val="0"/>
        <w:pageBreakBefore w:val="0"/>
        <w:widowControl/>
        <w:numPr>
          <w:ilvl w:val="0"/>
          <w:numId w:val="6"/>
        </w:numPr>
        <w:suppressLineNumbers w:val="0"/>
        <w:kinsoku/>
        <w:wordWrap w:val="0"/>
        <w:overflowPunct/>
        <w:topLinePunct w:val="0"/>
        <w:autoSpaceDE/>
        <w:autoSpaceDN/>
        <w:bidi w:val="0"/>
        <w:adjustRightInd/>
        <w:snapToGrid/>
        <w:spacing w:beforeAutospacing="0" w:after="0" w:afterAutospacing="0" w:line="360" w:lineRule="auto"/>
        <w:ind w:left="840" w:leftChars="0" w:hanging="420" w:firstLineChars="0"/>
        <w:textAlignment w:val="auto"/>
        <w:rPr>
          <w:rFonts w:hint="default" w:ascii="Times New Roman Regular" w:hAnsi="Times New Roman Regular" w:cs="Times New Roman Regular" w:eastAsiaTheme="majorEastAsia"/>
          <w:b w:val="0"/>
          <w:color w:val="auto"/>
          <w:sz w:val="24"/>
          <w:szCs w:val="24"/>
        </w:rPr>
      </w:pPr>
      <w:r>
        <w:rPr>
          <w:rFonts w:hint="default" w:ascii="Times New Roman Regular" w:hAnsi="Times New Roman Regular" w:cs="Times New Roman Regular" w:eastAsiaTheme="majorEastAsia"/>
          <w:b w:val="0"/>
          <w:color w:val="auto"/>
          <w:sz w:val="24"/>
          <w:szCs w:val="24"/>
        </w:rPr>
        <w:t>此外，医保准入谈判也为国产创新药后发先至提供了政策窗口，国产创新药通过合理的降价入围医保，可实现市场份额的快速提升和进口替代，从而进一步提升了本土企业的研发信心。</w:t>
      </w:r>
    </w:p>
    <w:p w14:paraId="35C60464">
      <w:pPr>
        <w:pStyle w:val="2"/>
        <w:keepNext w:val="0"/>
        <w:keepLines w:val="0"/>
        <w:pageBreakBefore w:val="0"/>
        <w:widowControl/>
        <w:numPr>
          <w:ilvl w:val="0"/>
          <w:numId w:val="1"/>
        </w:numPr>
        <w:suppressLineNumbers w:val="0"/>
        <w:kinsoku/>
        <w:wordWrap w:val="0"/>
        <w:overflowPunct/>
        <w:topLinePunct w:val="0"/>
        <w:autoSpaceDE/>
        <w:autoSpaceDN/>
        <w:bidi w:val="0"/>
        <w:adjustRightInd/>
        <w:snapToGrid/>
        <w:spacing w:beforeAutospacing="0" w:after="0" w:afterAutospacing="0" w:line="360" w:lineRule="auto"/>
        <w:ind w:left="425" w:leftChars="0" w:hanging="425" w:firstLineChars="0"/>
        <w:jc w:val="left"/>
        <w:textAlignment w:val="auto"/>
        <w:rPr>
          <w:rStyle w:val="5"/>
          <w:rFonts w:hint="default" w:ascii="Times New Roman Regular" w:hAnsi="Times New Roman Regular" w:cs="Times New Roman Regular" w:eastAsiaTheme="majorEastAsia"/>
          <w:b/>
          <w:bCs/>
          <w:color w:val="auto"/>
          <w:sz w:val="24"/>
          <w:szCs w:val="24"/>
          <w:lang w:val="en-US" w:eastAsia="zh-CN"/>
        </w:rPr>
      </w:pPr>
      <w:r>
        <w:rPr>
          <w:rStyle w:val="5"/>
          <w:rFonts w:hint="default" w:ascii="Times New Roman Regular" w:hAnsi="Times New Roman Regular" w:cs="Times New Roman Regular" w:eastAsiaTheme="majorEastAsia"/>
          <w:b/>
          <w:bCs/>
          <w:color w:val="auto"/>
          <w:sz w:val="24"/>
          <w:szCs w:val="24"/>
          <w:lang w:val="en-US" w:eastAsia="zh-CN"/>
        </w:rPr>
        <w:t>双通道政策助推谈判创新药落地</w:t>
      </w:r>
    </w:p>
    <w:p w14:paraId="461B6875">
      <w:pPr>
        <w:pStyle w:val="2"/>
        <w:keepNext w:val="0"/>
        <w:keepLines w:val="0"/>
        <w:pageBreakBefore w:val="0"/>
        <w:widowControl/>
        <w:numPr>
          <w:ilvl w:val="0"/>
          <w:numId w:val="7"/>
        </w:numPr>
        <w:suppressLineNumbers w:val="0"/>
        <w:kinsoku/>
        <w:wordWrap w:val="0"/>
        <w:overflowPunct/>
        <w:topLinePunct w:val="0"/>
        <w:autoSpaceDE/>
        <w:autoSpaceDN/>
        <w:bidi w:val="0"/>
        <w:adjustRightInd/>
        <w:snapToGrid/>
        <w:spacing w:beforeAutospacing="0" w:after="0" w:afterAutospacing="0" w:line="360" w:lineRule="auto"/>
        <w:ind w:left="840" w:leftChars="0" w:hanging="420" w:firstLineChars="0"/>
        <w:textAlignment w:val="auto"/>
        <w:rPr>
          <w:rFonts w:hint="default" w:ascii="Times New Roman Regular" w:hAnsi="Times New Roman Regular" w:cs="Times New Roman Regular" w:eastAsiaTheme="majorEastAsia"/>
          <w:b w:val="0"/>
          <w:color w:val="auto"/>
          <w:sz w:val="24"/>
          <w:szCs w:val="24"/>
        </w:rPr>
      </w:pPr>
      <w:r>
        <w:rPr>
          <w:rFonts w:hint="default" w:ascii="Times New Roman Regular" w:hAnsi="Times New Roman Regular" w:cs="Times New Roman Regular" w:eastAsiaTheme="majorEastAsia"/>
          <w:b w:val="0"/>
          <w:color w:val="auto"/>
          <w:sz w:val="24"/>
          <w:szCs w:val="24"/>
        </w:rPr>
        <w:t>为更好地促进医保谈判药品的落地，2021年4月国家医保局、国家卫生健康委员会发布《关于建立完善国家医保谈判药品“双通道”管理机制的指导意见》。</w:t>
      </w:r>
    </w:p>
    <w:p w14:paraId="1A00B342">
      <w:pPr>
        <w:pStyle w:val="2"/>
        <w:keepNext w:val="0"/>
        <w:keepLines w:val="0"/>
        <w:pageBreakBefore w:val="0"/>
        <w:widowControl/>
        <w:numPr>
          <w:ilvl w:val="0"/>
          <w:numId w:val="7"/>
        </w:numPr>
        <w:suppressLineNumbers w:val="0"/>
        <w:kinsoku/>
        <w:wordWrap w:val="0"/>
        <w:overflowPunct/>
        <w:topLinePunct w:val="0"/>
        <w:autoSpaceDE/>
        <w:autoSpaceDN/>
        <w:bidi w:val="0"/>
        <w:adjustRightInd/>
        <w:snapToGrid/>
        <w:spacing w:beforeAutospacing="0" w:after="0" w:afterAutospacing="0" w:line="360" w:lineRule="auto"/>
        <w:ind w:left="840" w:leftChars="0" w:hanging="420" w:firstLineChars="0"/>
        <w:textAlignment w:val="auto"/>
        <w:rPr>
          <w:rFonts w:hint="default" w:ascii="Times New Roman Regular" w:hAnsi="Times New Roman Regular" w:cs="Times New Roman Regular" w:eastAsiaTheme="majorEastAsia"/>
          <w:b w:val="0"/>
          <w:color w:val="auto"/>
          <w:sz w:val="24"/>
          <w:szCs w:val="24"/>
        </w:rPr>
      </w:pPr>
      <w:r>
        <w:rPr>
          <w:rFonts w:hint="default" w:ascii="Times New Roman Regular" w:hAnsi="Times New Roman Regular" w:cs="Times New Roman Regular" w:eastAsiaTheme="majorEastAsia"/>
          <w:b w:val="0"/>
          <w:color w:val="auto"/>
          <w:sz w:val="24"/>
          <w:szCs w:val="24"/>
        </w:rPr>
        <w:t>所谓“双通道”是指通过定点医疗机构和定点零售药店2个渠道，满足谈判药品供应保障、临床使用等方面的合理需求，并同步纳入医保支付的机制。随着医保药品目录动态调整机制的建立，创新药加入医保目录的步伐不断加快，而医疗机构药品准入的模式变化却不明显，进入了医保但进不了医院成为创新药落地“最后一公里”的难题。</w:t>
      </w:r>
    </w:p>
    <w:p w14:paraId="60367F89">
      <w:pPr>
        <w:pStyle w:val="2"/>
        <w:keepNext w:val="0"/>
        <w:keepLines w:val="0"/>
        <w:pageBreakBefore w:val="0"/>
        <w:widowControl/>
        <w:numPr>
          <w:ilvl w:val="0"/>
          <w:numId w:val="7"/>
        </w:numPr>
        <w:suppressLineNumbers w:val="0"/>
        <w:kinsoku/>
        <w:wordWrap w:val="0"/>
        <w:overflowPunct/>
        <w:topLinePunct w:val="0"/>
        <w:autoSpaceDE/>
        <w:autoSpaceDN/>
        <w:bidi w:val="0"/>
        <w:adjustRightInd/>
        <w:snapToGrid/>
        <w:spacing w:beforeAutospacing="0" w:after="0" w:afterAutospacing="0" w:line="360" w:lineRule="auto"/>
        <w:ind w:left="840" w:leftChars="0" w:hanging="420" w:firstLineChars="0"/>
        <w:textAlignment w:val="auto"/>
        <w:rPr>
          <w:rFonts w:hint="default" w:ascii="Times New Roman Regular" w:hAnsi="Times New Roman Regular" w:cs="Times New Roman Regular" w:eastAsiaTheme="majorEastAsia"/>
          <w:b w:val="0"/>
          <w:color w:val="auto"/>
          <w:sz w:val="24"/>
          <w:szCs w:val="24"/>
        </w:rPr>
      </w:pPr>
      <w:r>
        <w:rPr>
          <w:rFonts w:hint="default" w:ascii="Times New Roman Regular" w:hAnsi="Times New Roman Regular" w:cs="Times New Roman Regular" w:eastAsiaTheme="majorEastAsia"/>
          <w:b w:val="0"/>
          <w:color w:val="auto"/>
          <w:sz w:val="24"/>
          <w:szCs w:val="24"/>
        </w:rPr>
        <w:t>“双通道”政策的出台，将机制灵活、分布广泛的零售药店纳入国谈药品供应保障范围，既提升了创新药的可及性、更好地满足了参保患者的用药需求，又拓展了创新药的终端渠道，为高价值创新药市场启动和快速放量创造了有利条件。</w:t>
      </w:r>
    </w:p>
    <w:p w14:paraId="26C1693C">
      <w:pPr>
        <w:pStyle w:val="2"/>
        <w:keepNext w:val="0"/>
        <w:keepLines w:val="0"/>
        <w:pageBreakBefore w:val="0"/>
        <w:widowControl/>
        <w:numPr>
          <w:ilvl w:val="0"/>
          <w:numId w:val="1"/>
        </w:numPr>
        <w:suppressLineNumbers w:val="0"/>
        <w:kinsoku/>
        <w:wordWrap w:val="0"/>
        <w:overflowPunct/>
        <w:topLinePunct w:val="0"/>
        <w:autoSpaceDE/>
        <w:autoSpaceDN/>
        <w:bidi w:val="0"/>
        <w:adjustRightInd/>
        <w:snapToGrid/>
        <w:spacing w:beforeAutospacing="0" w:after="0" w:afterAutospacing="0" w:line="360" w:lineRule="auto"/>
        <w:ind w:left="425" w:leftChars="0" w:hanging="425" w:firstLineChars="0"/>
        <w:jc w:val="left"/>
        <w:textAlignment w:val="auto"/>
        <w:rPr>
          <w:rStyle w:val="5"/>
          <w:rFonts w:hint="default" w:ascii="Times New Roman Regular" w:hAnsi="Times New Roman Regular" w:cs="Times New Roman Regular" w:eastAsiaTheme="majorEastAsia"/>
          <w:b/>
          <w:bCs/>
          <w:color w:val="auto"/>
          <w:sz w:val="24"/>
          <w:szCs w:val="24"/>
          <w:lang w:val="en-US" w:eastAsia="zh-CN"/>
        </w:rPr>
      </w:pPr>
      <w:r>
        <w:rPr>
          <w:rStyle w:val="5"/>
          <w:rFonts w:hint="default" w:ascii="Times New Roman Regular" w:hAnsi="Times New Roman Regular" w:cs="Times New Roman Regular" w:eastAsiaTheme="majorEastAsia"/>
          <w:b/>
          <w:bCs/>
          <w:color w:val="auto"/>
          <w:sz w:val="24"/>
          <w:szCs w:val="24"/>
          <w:lang w:val="en-US" w:eastAsia="zh-CN"/>
        </w:rPr>
        <w:t>科创版给创新药企业带来更多资金支持</w:t>
      </w:r>
    </w:p>
    <w:p w14:paraId="2A61C88C">
      <w:pPr>
        <w:pStyle w:val="2"/>
        <w:keepNext w:val="0"/>
        <w:keepLines w:val="0"/>
        <w:pageBreakBefore w:val="0"/>
        <w:widowControl/>
        <w:numPr>
          <w:ilvl w:val="0"/>
          <w:numId w:val="8"/>
        </w:numPr>
        <w:suppressLineNumbers w:val="0"/>
        <w:kinsoku/>
        <w:wordWrap w:val="0"/>
        <w:overflowPunct/>
        <w:topLinePunct w:val="0"/>
        <w:autoSpaceDE/>
        <w:autoSpaceDN/>
        <w:bidi w:val="0"/>
        <w:adjustRightInd/>
        <w:snapToGrid/>
        <w:spacing w:beforeAutospacing="0" w:after="0" w:afterAutospacing="0" w:line="360" w:lineRule="auto"/>
        <w:ind w:left="840" w:leftChars="0" w:hanging="420" w:firstLineChars="0"/>
        <w:textAlignment w:val="auto"/>
        <w:rPr>
          <w:rFonts w:hint="default" w:ascii="Times New Roman Regular" w:hAnsi="Times New Roman Regular" w:cs="Times New Roman Regular" w:eastAsiaTheme="majorEastAsia"/>
          <w:b w:val="0"/>
          <w:color w:val="auto"/>
          <w:sz w:val="24"/>
          <w:szCs w:val="24"/>
        </w:rPr>
      </w:pPr>
      <w:r>
        <w:rPr>
          <w:rFonts w:hint="default" w:ascii="Times New Roman Regular" w:hAnsi="Times New Roman Regular" w:cs="Times New Roman Regular" w:eastAsiaTheme="majorEastAsia"/>
          <w:b w:val="0"/>
          <w:color w:val="auto"/>
          <w:sz w:val="24"/>
          <w:szCs w:val="24"/>
        </w:rPr>
        <w:t>企业融资难问题一直以来是我国实体经济发展的障碍，尤其对于依赖资本市场持续助力、输血的创新药企业而言更是如此。2019年7月，我国资本市场迎来了一个全新板块———科创板。</w:t>
      </w:r>
    </w:p>
    <w:p w14:paraId="03FF613B">
      <w:pPr>
        <w:pStyle w:val="2"/>
        <w:keepNext w:val="0"/>
        <w:keepLines w:val="0"/>
        <w:pageBreakBefore w:val="0"/>
        <w:widowControl/>
        <w:numPr>
          <w:ilvl w:val="0"/>
          <w:numId w:val="8"/>
        </w:numPr>
        <w:suppressLineNumbers w:val="0"/>
        <w:kinsoku/>
        <w:wordWrap w:val="0"/>
        <w:overflowPunct/>
        <w:topLinePunct w:val="0"/>
        <w:autoSpaceDE/>
        <w:autoSpaceDN/>
        <w:bidi w:val="0"/>
        <w:adjustRightInd/>
        <w:snapToGrid/>
        <w:spacing w:beforeAutospacing="0" w:after="0" w:afterAutospacing="0" w:line="360" w:lineRule="auto"/>
        <w:ind w:left="840" w:leftChars="0" w:hanging="420" w:firstLineChars="0"/>
        <w:textAlignment w:val="auto"/>
        <w:rPr>
          <w:rFonts w:hint="default" w:ascii="Times New Roman Regular" w:hAnsi="Times New Roman Regular" w:cs="Times New Roman Regular" w:eastAsiaTheme="majorEastAsia"/>
          <w:b w:val="0"/>
          <w:color w:val="auto"/>
          <w:sz w:val="24"/>
          <w:szCs w:val="24"/>
        </w:rPr>
      </w:pPr>
      <w:r>
        <w:rPr>
          <w:rFonts w:hint="default" w:ascii="Times New Roman Regular" w:hAnsi="Times New Roman Regular" w:cs="Times New Roman Regular" w:eastAsiaTheme="majorEastAsia"/>
          <w:b w:val="0"/>
          <w:color w:val="auto"/>
          <w:sz w:val="24"/>
          <w:szCs w:val="24"/>
        </w:rPr>
        <w:t>科创板精简优化了发行上市条件，突破了以往企业上市必须要实现盈利</w:t>
      </w:r>
      <w:bookmarkStart w:id="0" w:name="_GoBack"/>
      <w:bookmarkEnd w:id="0"/>
      <w:r>
        <w:rPr>
          <w:rFonts w:hint="default" w:ascii="Times New Roman Regular" w:hAnsi="Times New Roman Regular" w:cs="Times New Roman Regular" w:eastAsiaTheme="majorEastAsia"/>
          <w:b w:val="0"/>
          <w:color w:val="auto"/>
          <w:sz w:val="24"/>
          <w:szCs w:val="24"/>
        </w:rPr>
        <w:t>的硬性门槛，增添了市场对于优质中、小型科技创新企业的包容性，而生物医药作为科创板的重点面向行业之一，可获得流动性更佳、成本更低、更易触达的融资环境。</w:t>
      </w:r>
    </w:p>
    <w:p w14:paraId="07218A4F">
      <w:pPr>
        <w:keepNext w:val="0"/>
        <w:keepLines w:val="0"/>
        <w:widowControl/>
        <w:suppressLineNumbers w:val="0"/>
        <w:jc w:val="center"/>
        <w:textAlignment w:val="center"/>
        <w:rPr>
          <w:rFonts w:hint="eastAsia" w:ascii="宋体" w:hAnsi="宋体" w:eastAsia="宋体" w:cs="宋体"/>
          <w:b/>
          <w:bCs/>
          <w:i w:val="0"/>
          <w:iCs w:val="0"/>
          <w:color w:val="auto"/>
          <w:kern w:val="0"/>
          <w:sz w:val="22"/>
          <w:szCs w:val="22"/>
          <w:u w:val="none"/>
          <w:lang w:val="en-US" w:eastAsia="zh-CN" w:bidi="ar"/>
        </w:rPr>
      </w:pPr>
    </w:p>
    <w:p w14:paraId="26FF6E2E">
      <w:pPr>
        <w:keepNext w:val="0"/>
        <w:keepLines w:val="0"/>
        <w:widowControl/>
        <w:suppressLineNumbers w:val="0"/>
        <w:jc w:val="center"/>
        <w:textAlignment w:val="center"/>
        <w:rPr>
          <w:rFonts w:hint="eastAsia" w:ascii="宋体" w:hAnsi="宋体" w:eastAsia="宋体" w:cs="宋体"/>
          <w:b/>
          <w:bCs/>
          <w:i w:val="0"/>
          <w:iCs w:val="0"/>
          <w:color w:val="auto"/>
          <w:kern w:val="0"/>
          <w:sz w:val="22"/>
          <w:szCs w:val="22"/>
          <w:u w:val="none"/>
          <w:lang w:val="en-US" w:eastAsia="zh-CN" w:bidi="ar"/>
        </w:rPr>
      </w:pPr>
    </w:p>
    <w:p w14:paraId="613A6541">
      <w:pPr>
        <w:keepNext w:val="0"/>
        <w:keepLines w:val="0"/>
        <w:widowControl/>
        <w:suppressLineNumbers w:val="0"/>
        <w:jc w:val="center"/>
        <w:textAlignment w:val="center"/>
        <w:rPr>
          <w:rFonts w:hint="eastAsia" w:ascii="宋体" w:hAnsi="宋体" w:eastAsia="宋体" w:cs="宋体"/>
          <w:b/>
          <w:bCs/>
          <w:i w:val="0"/>
          <w:iCs w:val="0"/>
          <w:color w:val="auto"/>
          <w:kern w:val="0"/>
          <w:sz w:val="22"/>
          <w:szCs w:val="22"/>
          <w:u w:val="none"/>
          <w:lang w:val="en-US" w:eastAsia="zh-CN" w:bidi="ar"/>
        </w:rPr>
      </w:pPr>
    </w:p>
    <w:p w14:paraId="2CD759E3">
      <w:pPr>
        <w:keepNext w:val="0"/>
        <w:keepLines w:val="0"/>
        <w:widowControl/>
        <w:suppressLineNumbers w:val="0"/>
        <w:jc w:val="center"/>
        <w:textAlignment w:val="center"/>
        <w:rPr>
          <w:rFonts w:hint="eastAsia" w:ascii="宋体" w:hAnsi="宋体" w:eastAsia="宋体" w:cs="宋体"/>
          <w:b/>
          <w:bCs/>
          <w:i w:val="0"/>
          <w:iCs w:val="0"/>
          <w:color w:val="auto"/>
          <w:kern w:val="0"/>
          <w:sz w:val="22"/>
          <w:szCs w:val="22"/>
          <w:u w:val="none"/>
          <w:lang w:val="en-US" w:eastAsia="zh-CN" w:bidi="ar"/>
        </w:rPr>
      </w:pPr>
    </w:p>
    <w:p w14:paraId="5336CEDD">
      <w:pPr>
        <w:keepNext w:val="0"/>
        <w:keepLines w:val="0"/>
        <w:widowControl/>
        <w:suppressLineNumbers w:val="0"/>
        <w:jc w:val="center"/>
        <w:textAlignment w:val="center"/>
        <w:rPr>
          <w:rFonts w:hint="default" w:ascii="宋体" w:hAnsi="宋体" w:eastAsia="宋体" w:cs="宋体"/>
          <w:b/>
          <w:bCs/>
          <w:i w:val="0"/>
          <w:iCs w:val="0"/>
          <w:color w:val="auto"/>
          <w:kern w:val="0"/>
          <w:sz w:val="28"/>
          <w:szCs w:val="28"/>
          <w:u w:val="none"/>
          <w:lang w:val="en-US" w:eastAsia="zh-CN" w:bidi="ar"/>
        </w:rPr>
      </w:pPr>
      <w:r>
        <w:rPr>
          <w:rFonts w:hint="eastAsia" w:ascii="宋体" w:hAnsi="宋体" w:eastAsia="宋体" w:cs="宋体"/>
          <w:b/>
          <w:bCs/>
          <w:i w:val="0"/>
          <w:iCs w:val="0"/>
          <w:color w:val="auto"/>
          <w:kern w:val="0"/>
          <w:sz w:val="28"/>
          <w:szCs w:val="28"/>
          <w:u w:val="none"/>
          <w:lang w:val="en-US" w:eastAsia="zh-CN" w:bidi="ar"/>
        </w:rPr>
        <w:t>表1 创新药近十年的相关政策梳理</w:t>
      </w:r>
    </w:p>
    <w:tbl>
      <w:tblPr>
        <w:tblW w:w="8359" w:type="dxa"/>
        <w:tblInd w:w="8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774"/>
        <w:gridCol w:w="2596"/>
        <w:gridCol w:w="4989"/>
      </w:tblGrid>
      <w:tr w14:paraId="61A5119A">
        <w:trPr>
          <w:trHeight w:val="340" w:hRule="atLeast"/>
        </w:trPr>
        <w:tc>
          <w:tcPr>
            <w:tcW w:w="774" w:type="dxa"/>
            <w:tcBorders>
              <w:top w:val="single" w:color="000000" w:sz="4" w:space="0"/>
              <w:left w:val="single" w:color="000000" w:sz="4" w:space="0"/>
              <w:bottom w:val="single" w:color="000000" w:sz="4" w:space="0"/>
              <w:right w:val="single" w:color="000000" w:sz="4" w:space="0"/>
            </w:tcBorders>
            <w:shd w:val="clear"/>
            <w:vAlign w:val="center"/>
          </w:tcPr>
          <w:p w14:paraId="6606CD3B">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bdr w:val="none" w:color="auto" w:sz="0" w:space="0"/>
                <w:lang w:val="en-US" w:eastAsia="zh-CN" w:bidi="ar"/>
              </w:rPr>
              <w:t>时间</w:t>
            </w:r>
          </w:p>
        </w:tc>
        <w:tc>
          <w:tcPr>
            <w:tcW w:w="2596" w:type="dxa"/>
            <w:tcBorders>
              <w:top w:val="single" w:color="000000" w:sz="4" w:space="0"/>
              <w:left w:val="single" w:color="000000" w:sz="4" w:space="0"/>
              <w:bottom w:val="single" w:color="000000" w:sz="4" w:space="0"/>
              <w:right w:val="single" w:color="000000" w:sz="4" w:space="0"/>
            </w:tcBorders>
            <w:shd w:val="clear"/>
            <w:vAlign w:val="center"/>
          </w:tcPr>
          <w:p w14:paraId="268C44BD">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bdr w:val="none" w:color="auto" w:sz="0" w:space="0"/>
                <w:lang w:val="en-US" w:eastAsia="zh-CN" w:bidi="ar"/>
              </w:rPr>
              <w:t>政策名称</w:t>
            </w:r>
          </w:p>
        </w:tc>
        <w:tc>
          <w:tcPr>
            <w:tcW w:w="4989" w:type="dxa"/>
            <w:tcBorders>
              <w:top w:val="single" w:color="000000" w:sz="4" w:space="0"/>
              <w:left w:val="single" w:color="000000" w:sz="4" w:space="0"/>
              <w:bottom w:val="single" w:color="000000" w:sz="4" w:space="0"/>
              <w:right w:val="single" w:color="000000" w:sz="4" w:space="0"/>
            </w:tcBorders>
            <w:shd w:val="clear"/>
            <w:vAlign w:val="center"/>
          </w:tcPr>
          <w:p w14:paraId="623BF880">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bdr w:val="none" w:color="auto" w:sz="0" w:space="0"/>
                <w:lang w:val="en-US" w:eastAsia="zh-CN" w:bidi="ar"/>
              </w:rPr>
              <w:t>政策内容</w:t>
            </w:r>
          </w:p>
        </w:tc>
      </w:tr>
      <w:tr w14:paraId="7C454BB8">
        <w:trPr>
          <w:trHeight w:val="2020" w:hRule="atLeast"/>
        </w:trPr>
        <w:tc>
          <w:tcPr>
            <w:tcW w:w="774" w:type="dxa"/>
            <w:tcBorders>
              <w:top w:val="single" w:color="000000" w:sz="4" w:space="0"/>
              <w:left w:val="single" w:color="000000" w:sz="4" w:space="0"/>
              <w:bottom w:val="single" w:color="000000" w:sz="4" w:space="0"/>
              <w:right w:val="single" w:color="000000" w:sz="4" w:space="0"/>
            </w:tcBorders>
            <w:shd w:val="clear"/>
            <w:vAlign w:val="center"/>
          </w:tcPr>
          <w:p w14:paraId="1903F428">
            <w:pPr>
              <w:keepNext w:val="0"/>
              <w:keepLines w:val="0"/>
              <w:widowControl/>
              <w:suppressLineNumbers w:val="0"/>
              <w:jc w:val="center"/>
              <w:textAlignment w:val="center"/>
              <w:rPr>
                <w:rFonts w:ascii="Times New Roman Regular" w:hAnsi="Times New Roman Regular" w:eastAsia="Times New Roman Regular" w:cs="Times New Roman Regular"/>
                <w:b/>
                <w:bCs/>
                <w:i w:val="0"/>
                <w:iCs w:val="0"/>
                <w:color w:val="000000"/>
                <w:sz w:val="22"/>
                <w:szCs w:val="22"/>
                <w:u w:val="none"/>
              </w:rPr>
            </w:pPr>
            <w:r>
              <w:rPr>
                <w:rFonts w:hint="default" w:ascii="Times New Roman Regular" w:hAnsi="Times New Roman Regular" w:eastAsia="Times New Roman Regular" w:cs="Times New Roman Regular"/>
                <w:b/>
                <w:bCs/>
                <w:i w:val="0"/>
                <w:iCs w:val="0"/>
                <w:color w:val="000000"/>
                <w:kern w:val="0"/>
                <w:sz w:val="22"/>
                <w:szCs w:val="22"/>
                <w:u w:val="none"/>
                <w:bdr w:val="none" w:color="auto" w:sz="0" w:space="0"/>
                <w:lang w:val="en-US" w:eastAsia="zh-CN" w:bidi="ar"/>
              </w:rPr>
              <w:t>2006</w:t>
            </w:r>
          </w:p>
        </w:tc>
        <w:tc>
          <w:tcPr>
            <w:tcW w:w="2596" w:type="dxa"/>
            <w:tcBorders>
              <w:top w:val="single" w:color="000000" w:sz="4" w:space="0"/>
              <w:left w:val="single" w:color="000000" w:sz="4" w:space="0"/>
              <w:bottom w:val="single" w:color="000000" w:sz="4" w:space="0"/>
              <w:right w:val="single" w:color="000000" w:sz="4" w:space="0"/>
            </w:tcBorders>
            <w:shd w:val="clear"/>
            <w:vAlign w:val="center"/>
          </w:tcPr>
          <w:p w14:paraId="57E6C02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《国家</w:t>
            </w:r>
            <w:r>
              <w:rPr>
                <w:rFonts w:hint="default" w:ascii="Times New Roman Regular" w:hAnsi="Times New Roman Regular" w:eastAsia="Times New Roman Regular" w:cs="Times New Roman Regular"/>
                <w:i w:val="0"/>
                <w:iCs w:val="0"/>
                <w:color w:val="000000"/>
                <w:kern w:val="0"/>
                <w:sz w:val="22"/>
                <w:szCs w:val="22"/>
                <w:u w:val="none"/>
                <w:bdr w:val="none" w:color="auto" w:sz="0" w:space="0"/>
                <w:lang w:val="en-US" w:eastAsia="zh-CN" w:bidi="ar"/>
              </w:rPr>
              <w:t>“</w:t>
            </w:r>
            <w:r>
              <w:rPr>
                <w:rFonts w:hint="eastAsia" w:ascii="宋体" w:hAnsi="宋体" w:eastAsia="宋体" w:cs="宋体"/>
                <w:i w:val="0"/>
                <w:iCs w:val="0"/>
                <w:color w:val="000000"/>
                <w:kern w:val="0"/>
                <w:sz w:val="22"/>
                <w:szCs w:val="22"/>
                <w:u w:val="none"/>
                <w:bdr w:val="none" w:color="auto" w:sz="0" w:space="0"/>
                <w:lang w:val="en-US" w:eastAsia="zh-CN" w:bidi="ar"/>
              </w:rPr>
              <w:t>十一五</w:t>
            </w:r>
            <w:r>
              <w:rPr>
                <w:rFonts w:hint="default" w:ascii="Times New Roman Regular" w:hAnsi="Times New Roman Regular" w:eastAsia="Times New Roman Regular" w:cs="Times New Roman Regular"/>
                <w:i w:val="0"/>
                <w:iCs w:val="0"/>
                <w:color w:val="000000"/>
                <w:kern w:val="0"/>
                <w:sz w:val="22"/>
                <w:szCs w:val="22"/>
                <w:u w:val="none"/>
                <w:bdr w:val="none" w:color="auto" w:sz="0" w:space="0"/>
                <w:lang w:val="en-US" w:eastAsia="zh-CN" w:bidi="ar"/>
              </w:rPr>
              <w:t>”</w:t>
            </w:r>
            <w:r>
              <w:rPr>
                <w:rFonts w:hint="eastAsia" w:ascii="宋体" w:hAnsi="宋体" w:eastAsia="宋体" w:cs="宋体"/>
                <w:i w:val="0"/>
                <w:iCs w:val="0"/>
                <w:color w:val="000000"/>
                <w:kern w:val="0"/>
                <w:sz w:val="22"/>
                <w:szCs w:val="22"/>
                <w:u w:val="none"/>
                <w:bdr w:val="none" w:color="auto" w:sz="0" w:space="0"/>
                <w:lang w:val="en-US" w:eastAsia="zh-CN" w:bidi="ar"/>
              </w:rPr>
              <w:t>中长期科学和技术发展规划纲要》</w:t>
            </w:r>
          </w:p>
        </w:tc>
        <w:tc>
          <w:tcPr>
            <w:tcW w:w="4989" w:type="dxa"/>
            <w:tcBorders>
              <w:top w:val="single" w:color="000000" w:sz="4" w:space="0"/>
              <w:left w:val="single" w:color="000000" w:sz="4" w:space="0"/>
              <w:bottom w:val="single" w:color="000000" w:sz="4" w:space="0"/>
              <w:right w:val="single" w:color="000000" w:sz="4" w:space="0"/>
            </w:tcBorders>
            <w:shd w:val="clear"/>
            <w:vAlign w:val="center"/>
          </w:tcPr>
          <w:p w14:paraId="5879B30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该规划纲要首次明确将生物医药列为国家重点发展领域，规划的主要目标是通过加强关键技术攻关、自主研发和技术成果转化，推动我国从依赖传统化学药物的医药产业逐步向以现代生物药物为核心的高技术产业转型。</w:t>
            </w:r>
          </w:p>
        </w:tc>
      </w:tr>
      <w:tr w14:paraId="2D2C00AE">
        <w:trPr>
          <w:trHeight w:val="1360" w:hRule="atLeast"/>
        </w:trPr>
        <w:tc>
          <w:tcPr>
            <w:tcW w:w="774" w:type="dxa"/>
            <w:tcBorders>
              <w:top w:val="single" w:color="000000" w:sz="4" w:space="0"/>
              <w:left w:val="single" w:color="000000" w:sz="4" w:space="0"/>
              <w:bottom w:val="single" w:color="000000" w:sz="4" w:space="0"/>
              <w:right w:val="single" w:color="000000" w:sz="4" w:space="0"/>
            </w:tcBorders>
            <w:shd w:val="clear"/>
            <w:vAlign w:val="center"/>
          </w:tcPr>
          <w:p w14:paraId="67D7B393">
            <w:pPr>
              <w:keepNext w:val="0"/>
              <w:keepLines w:val="0"/>
              <w:widowControl/>
              <w:suppressLineNumbers w:val="0"/>
              <w:jc w:val="center"/>
              <w:textAlignment w:val="center"/>
              <w:rPr>
                <w:rFonts w:hint="default" w:ascii="Times New Roman Regular" w:hAnsi="Times New Roman Regular" w:eastAsia="Times New Roman Regular" w:cs="Times New Roman Regular"/>
                <w:b/>
                <w:bCs/>
                <w:i w:val="0"/>
                <w:iCs w:val="0"/>
                <w:color w:val="000000"/>
                <w:sz w:val="22"/>
                <w:szCs w:val="22"/>
                <w:u w:val="none"/>
              </w:rPr>
            </w:pPr>
            <w:r>
              <w:rPr>
                <w:rFonts w:hint="default" w:ascii="Times New Roman Regular" w:hAnsi="Times New Roman Regular" w:eastAsia="Times New Roman Regular" w:cs="Times New Roman Regular"/>
                <w:b/>
                <w:bCs/>
                <w:i w:val="0"/>
                <w:iCs w:val="0"/>
                <w:color w:val="000000"/>
                <w:kern w:val="0"/>
                <w:sz w:val="22"/>
                <w:szCs w:val="22"/>
                <w:u w:val="none"/>
                <w:bdr w:val="none" w:color="auto" w:sz="0" w:space="0"/>
                <w:lang w:val="en-US" w:eastAsia="zh-CN" w:bidi="ar"/>
              </w:rPr>
              <w:t>2009</w:t>
            </w:r>
          </w:p>
        </w:tc>
        <w:tc>
          <w:tcPr>
            <w:tcW w:w="2596" w:type="dxa"/>
            <w:tcBorders>
              <w:top w:val="single" w:color="000000" w:sz="4" w:space="0"/>
              <w:left w:val="single" w:color="000000" w:sz="4" w:space="0"/>
              <w:bottom w:val="single" w:color="000000" w:sz="4" w:space="0"/>
              <w:right w:val="single" w:color="000000" w:sz="4" w:space="0"/>
            </w:tcBorders>
            <w:shd w:val="clear"/>
            <w:vAlign w:val="center"/>
          </w:tcPr>
          <w:p w14:paraId="535B97F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《关于深化医疗卫生体制改革的意见》</w:t>
            </w:r>
          </w:p>
        </w:tc>
        <w:tc>
          <w:tcPr>
            <w:tcW w:w="4989" w:type="dxa"/>
            <w:tcBorders>
              <w:top w:val="single" w:color="000000" w:sz="4" w:space="0"/>
              <w:left w:val="single" w:color="000000" w:sz="4" w:space="0"/>
              <w:bottom w:val="single" w:color="000000" w:sz="4" w:space="0"/>
              <w:right w:val="single" w:color="000000" w:sz="4" w:space="0"/>
            </w:tcBorders>
            <w:shd w:val="clear"/>
            <w:vAlign w:val="center"/>
          </w:tcPr>
          <w:p w14:paraId="717DD6A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该意见提出了建立基本医疗卫生制度，提高全民健康水平的改革目标，强调加强药品供应保障体系，促进基本药物制度的实施，为创新药物的研发和普及提供政策支持。</w:t>
            </w:r>
          </w:p>
        </w:tc>
      </w:tr>
      <w:tr w14:paraId="7E272FB2">
        <w:trPr>
          <w:trHeight w:val="1360" w:hRule="atLeast"/>
        </w:trPr>
        <w:tc>
          <w:tcPr>
            <w:tcW w:w="774" w:type="dxa"/>
            <w:tcBorders>
              <w:top w:val="single" w:color="000000" w:sz="4" w:space="0"/>
              <w:left w:val="single" w:color="000000" w:sz="4" w:space="0"/>
              <w:bottom w:val="single" w:color="000000" w:sz="4" w:space="0"/>
              <w:right w:val="single" w:color="000000" w:sz="4" w:space="0"/>
            </w:tcBorders>
            <w:shd w:val="clear"/>
            <w:vAlign w:val="center"/>
          </w:tcPr>
          <w:p w14:paraId="42D51976">
            <w:pPr>
              <w:keepNext w:val="0"/>
              <w:keepLines w:val="0"/>
              <w:widowControl/>
              <w:suppressLineNumbers w:val="0"/>
              <w:jc w:val="center"/>
              <w:textAlignment w:val="center"/>
              <w:rPr>
                <w:rFonts w:hint="default" w:ascii="Times New Roman Regular" w:hAnsi="Times New Roman Regular" w:eastAsia="Times New Roman Regular" w:cs="Times New Roman Regular"/>
                <w:b/>
                <w:bCs/>
                <w:i w:val="0"/>
                <w:iCs w:val="0"/>
                <w:color w:val="000000"/>
                <w:sz w:val="22"/>
                <w:szCs w:val="22"/>
                <w:u w:val="none"/>
              </w:rPr>
            </w:pPr>
            <w:r>
              <w:rPr>
                <w:rFonts w:hint="default" w:ascii="Times New Roman Regular" w:hAnsi="Times New Roman Regular" w:eastAsia="Times New Roman Regular" w:cs="Times New Roman Regular"/>
                <w:b/>
                <w:bCs/>
                <w:i w:val="0"/>
                <w:iCs w:val="0"/>
                <w:color w:val="000000"/>
                <w:kern w:val="0"/>
                <w:sz w:val="22"/>
                <w:szCs w:val="22"/>
                <w:u w:val="none"/>
                <w:bdr w:val="none" w:color="auto" w:sz="0" w:space="0"/>
                <w:lang w:val="en-US" w:eastAsia="zh-CN" w:bidi="ar"/>
              </w:rPr>
              <w:t>2011</w:t>
            </w:r>
          </w:p>
        </w:tc>
        <w:tc>
          <w:tcPr>
            <w:tcW w:w="2596" w:type="dxa"/>
            <w:tcBorders>
              <w:top w:val="single" w:color="000000" w:sz="4" w:space="0"/>
              <w:left w:val="single" w:color="000000" w:sz="4" w:space="0"/>
              <w:bottom w:val="single" w:color="000000" w:sz="4" w:space="0"/>
              <w:right w:val="single" w:color="000000" w:sz="4" w:space="0"/>
            </w:tcBorders>
            <w:shd w:val="clear"/>
            <w:vAlign w:val="center"/>
          </w:tcPr>
          <w:p w14:paraId="5F4F68F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《国家</w:t>
            </w:r>
            <w:r>
              <w:rPr>
                <w:rFonts w:hint="default" w:ascii="Times New Roman Regular" w:hAnsi="Times New Roman Regular" w:eastAsia="Times New Roman Regular" w:cs="Times New Roman Regular"/>
                <w:i w:val="0"/>
                <w:iCs w:val="0"/>
                <w:color w:val="000000"/>
                <w:kern w:val="0"/>
                <w:sz w:val="22"/>
                <w:szCs w:val="22"/>
                <w:u w:val="none"/>
                <w:bdr w:val="none" w:color="auto" w:sz="0" w:space="0"/>
                <w:lang w:val="en-US" w:eastAsia="zh-CN" w:bidi="ar"/>
              </w:rPr>
              <w:t>“</w:t>
            </w:r>
            <w:r>
              <w:rPr>
                <w:rFonts w:hint="eastAsia" w:ascii="宋体" w:hAnsi="宋体" w:eastAsia="宋体" w:cs="宋体"/>
                <w:i w:val="0"/>
                <w:iCs w:val="0"/>
                <w:color w:val="000000"/>
                <w:kern w:val="0"/>
                <w:sz w:val="22"/>
                <w:szCs w:val="22"/>
                <w:u w:val="none"/>
                <w:bdr w:val="none" w:color="auto" w:sz="0" w:space="0"/>
                <w:lang w:val="en-US" w:eastAsia="zh-CN" w:bidi="ar"/>
              </w:rPr>
              <w:t>十二五</w:t>
            </w:r>
            <w:r>
              <w:rPr>
                <w:rFonts w:hint="default" w:ascii="Times New Roman Regular" w:hAnsi="Times New Roman Regular" w:eastAsia="Times New Roman Regular" w:cs="Times New Roman Regular"/>
                <w:i w:val="0"/>
                <w:iCs w:val="0"/>
                <w:color w:val="000000"/>
                <w:kern w:val="0"/>
                <w:sz w:val="22"/>
                <w:szCs w:val="22"/>
                <w:u w:val="none"/>
                <w:bdr w:val="none" w:color="auto" w:sz="0" w:space="0"/>
                <w:lang w:val="en-US" w:eastAsia="zh-CN" w:bidi="ar"/>
              </w:rPr>
              <w:t>”</w:t>
            </w:r>
            <w:r>
              <w:rPr>
                <w:rFonts w:hint="eastAsia" w:ascii="宋体" w:hAnsi="宋体" w:eastAsia="宋体" w:cs="宋体"/>
                <w:i w:val="0"/>
                <w:iCs w:val="0"/>
                <w:color w:val="000000"/>
                <w:kern w:val="0"/>
                <w:sz w:val="22"/>
                <w:szCs w:val="22"/>
                <w:u w:val="none"/>
                <w:bdr w:val="none" w:color="auto" w:sz="0" w:space="0"/>
                <w:lang w:val="en-US" w:eastAsia="zh-CN" w:bidi="ar"/>
              </w:rPr>
              <w:t>科技规划纲要》</w:t>
            </w:r>
          </w:p>
        </w:tc>
        <w:tc>
          <w:tcPr>
            <w:tcW w:w="4989" w:type="dxa"/>
            <w:tcBorders>
              <w:top w:val="single" w:color="000000" w:sz="4" w:space="0"/>
              <w:left w:val="single" w:color="000000" w:sz="4" w:space="0"/>
              <w:bottom w:val="single" w:color="000000" w:sz="4" w:space="0"/>
              <w:right w:val="single" w:color="000000" w:sz="4" w:space="0"/>
            </w:tcBorders>
            <w:shd w:val="clear"/>
            <w:vAlign w:val="center"/>
          </w:tcPr>
          <w:p w14:paraId="1F45FD7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该规划纲要进一步明确创新药物研发的方向和目标，支持创新药物的临床试验和产业化，旨在通过科技创新推动医药产业升级，实现从仿制到创新驱动的转变。</w:t>
            </w:r>
          </w:p>
        </w:tc>
      </w:tr>
      <w:tr w14:paraId="528C6407">
        <w:trPr>
          <w:trHeight w:val="1360" w:hRule="atLeast"/>
        </w:trPr>
        <w:tc>
          <w:tcPr>
            <w:tcW w:w="774" w:type="dxa"/>
            <w:tcBorders>
              <w:top w:val="single" w:color="000000" w:sz="4" w:space="0"/>
              <w:left w:val="single" w:color="000000" w:sz="4" w:space="0"/>
              <w:bottom w:val="single" w:color="000000" w:sz="4" w:space="0"/>
              <w:right w:val="single" w:color="000000" w:sz="4" w:space="0"/>
            </w:tcBorders>
            <w:shd w:val="clear"/>
            <w:vAlign w:val="center"/>
          </w:tcPr>
          <w:p w14:paraId="4CEF2B22">
            <w:pPr>
              <w:keepNext w:val="0"/>
              <w:keepLines w:val="0"/>
              <w:widowControl/>
              <w:suppressLineNumbers w:val="0"/>
              <w:jc w:val="center"/>
              <w:textAlignment w:val="center"/>
              <w:rPr>
                <w:rFonts w:hint="default" w:ascii="Times New Roman Regular" w:hAnsi="Times New Roman Regular" w:eastAsia="Times New Roman Regular" w:cs="Times New Roman Regular"/>
                <w:b/>
                <w:bCs/>
                <w:i w:val="0"/>
                <w:iCs w:val="0"/>
                <w:color w:val="000000"/>
                <w:sz w:val="22"/>
                <w:szCs w:val="22"/>
                <w:u w:val="none"/>
              </w:rPr>
            </w:pPr>
            <w:r>
              <w:rPr>
                <w:rFonts w:hint="default" w:ascii="Times New Roman Regular" w:hAnsi="Times New Roman Regular" w:eastAsia="Times New Roman Regular" w:cs="Times New Roman Regular"/>
                <w:b/>
                <w:bCs/>
                <w:i w:val="0"/>
                <w:iCs w:val="0"/>
                <w:color w:val="000000"/>
                <w:kern w:val="0"/>
                <w:sz w:val="22"/>
                <w:szCs w:val="22"/>
                <w:u w:val="none"/>
                <w:bdr w:val="none" w:color="auto" w:sz="0" w:space="0"/>
                <w:lang w:val="en-US" w:eastAsia="zh-CN" w:bidi="ar"/>
              </w:rPr>
              <w:t>2015</w:t>
            </w:r>
          </w:p>
        </w:tc>
        <w:tc>
          <w:tcPr>
            <w:tcW w:w="2596" w:type="dxa"/>
            <w:tcBorders>
              <w:top w:val="single" w:color="000000" w:sz="4" w:space="0"/>
              <w:left w:val="single" w:color="000000" w:sz="4" w:space="0"/>
              <w:bottom w:val="single" w:color="000000" w:sz="4" w:space="0"/>
              <w:right w:val="single" w:color="000000" w:sz="4" w:space="0"/>
            </w:tcBorders>
            <w:shd w:val="clear"/>
            <w:vAlign w:val="center"/>
          </w:tcPr>
          <w:p w14:paraId="5AC28F1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《药品上市许可持有人制度试点方案》</w:t>
            </w:r>
          </w:p>
        </w:tc>
        <w:tc>
          <w:tcPr>
            <w:tcW w:w="4989" w:type="dxa"/>
            <w:tcBorders>
              <w:top w:val="single" w:color="000000" w:sz="4" w:space="0"/>
              <w:left w:val="single" w:color="000000" w:sz="4" w:space="0"/>
              <w:bottom w:val="single" w:color="000000" w:sz="4" w:space="0"/>
              <w:right w:val="single" w:color="000000" w:sz="4" w:space="0"/>
            </w:tcBorders>
            <w:shd w:val="clear"/>
            <w:vAlign w:val="center"/>
          </w:tcPr>
          <w:p w14:paraId="7D0690D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该方案启动了药品上市许可持有人制度试点，旨在鼓励药品创新，提高药品质量，通过改革药品审批制度，激发企业研发新药的积极性，加快新药上市进程。</w:t>
            </w:r>
          </w:p>
        </w:tc>
      </w:tr>
      <w:tr w14:paraId="66F08079">
        <w:trPr>
          <w:trHeight w:val="1360" w:hRule="atLeast"/>
        </w:trPr>
        <w:tc>
          <w:tcPr>
            <w:tcW w:w="774" w:type="dxa"/>
            <w:tcBorders>
              <w:top w:val="single" w:color="000000" w:sz="4" w:space="0"/>
              <w:left w:val="single" w:color="000000" w:sz="4" w:space="0"/>
              <w:bottom w:val="single" w:color="000000" w:sz="4" w:space="0"/>
              <w:right w:val="single" w:color="000000" w:sz="4" w:space="0"/>
            </w:tcBorders>
            <w:shd w:val="clear"/>
            <w:vAlign w:val="center"/>
          </w:tcPr>
          <w:p w14:paraId="0881A890">
            <w:pPr>
              <w:keepNext w:val="0"/>
              <w:keepLines w:val="0"/>
              <w:widowControl/>
              <w:suppressLineNumbers w:val="0"/>
              <w:jc w:val="center"/>
              <w:textAlignment w:val="center"/>
              <w:rPr>
                <w:rFonts w:hint="default" w:ascii="Times New Roman Regular" w:hAnsi="Times New Roman Regular" w:eastAsia="Times New Roman Regular" w:cs="Times New Roman Regular"/>
                <w:b/>
                <w:bCs/>
                <w:i w:val="0"/>
                <w:iCs w:val="0"/>
                <w:color w:val="000000"/>
                <w:sz w:val="22"/>
                <w:szCs w:val="22"/>
                <w:u w:val="none"/>
              </w:rPr>
            </w:pPr>
            <w:r>
              <w:rPr>
                <w:rFonts w:hint="default" w:ascii="Times New Roman Regular" w:hAnsi="Times New Roman Regular" w:eastAsia="Times New Roman Regular" w:cs="Times New Roman Regular"/>
                <w:b/>
                <w:bCs/>
                <w:i w:val="0"/>
                <w:iCs w:val="0"/>
                <w:color w:val="000000"/>
                <w:kern w:val="0"/>
                <w:sz w:val="22"/>
                <w:szCs w:val="22"/>
                <w:u w:val="none"/>
                <w:bdr w:val="none" w:color="auto" w:sz="0" w:space="0"/>
                <w:lang w:val="en-US" w:eastAsia="zh-CN" w:bidi="ar"/>
              </w:rPr>
              <w:t>2016</w:t>
            </w:r>
          </w:p>
        </w:tc>
        <w:tc>
          <w:tcPr>
            <w:tcW w:w="2596" w:type="dxa"/>
            <w:tcBorders>
              <w:top w:val="single" w:color="000000" w:sz="4" w:space="0"/>
              <w:left w:val="single" w:color="000000" w:sz="4" w:space="0"/>
              <w:bottom w:val="single" w:color="000000" w:sz="4" w:space="0"/>
              <w:right w:val="single" w:color="000000" w:sz="4" w:space="0"/>
            </w:tcBorders>
            <w:shd w:val="clear"/>
            <w:vAlign w:val="center"/>
          </w:tcPr>
          <w:p w14:paraId="6A21CD5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《国家</w:t>
            </w:r>
            <w:r>
              <w:rPr>
                <w:rFonts w:hint="default" w:ascii="Times New Roman Regular" w:hAnsi="Times New Roman Regular" w:eastAsia="Times New Roman Regular" w:cs="Times New Roman Regular"/>
                <w:i w:val="0"/>
                <w:iCs w:val="0"/>
                <w:color w:val="000000"/>
                <w:kern w:val="0"/>
                <w:sz w:val="22"/>
                <w:szCs w:val="22"/>
                <w:u w:val="none"/>
                <w:bdr w:val="none" w:color="auto" w:sz="0" w:space="0"/>
                <w:lang w:val="en-US" w:eastAsia="zh-CN" w:bidi="ar"/>
              </w:rPr>
              <w:t>“</w:t>
            </w:r>
            <w:r>
              <w:rPr>
                <w:rFonts w:hint="eastAsia" w:ascii="宋体" w:hAnsi="宋体" w:eastAsia="宋体" w:cs="宋体"/>
                <w:i w:val="0"/>
                <w:iCs w:val="0"/>
                <w:color w:val="000000"/>
                <w:kern w:val="0"/>
                <w:sz w:val="22"/>
                <w:szCs w:val="22"/>
                <w:u w:val="none"/>
                <w:bdr w:val="none" w:color="auto" w:sz="0" w:space="0"/>
                <w:lang w:val="en-US" w:eastAsia="zh-CN" w:bidi="ar"/>
              </w:rPr>
              <w:t>十三五</w:t>
            </w:r>
            <w:r>
              <w:rPr>
                <w:rFonts w:hint="default" w:ascii="Times New Roman Regular" w:hAnsi="Times New Roman Regular" w:eastAsia="Times New Roman Regular" w:cs="Times New Roman Regular"/>
                <w:i w:val="0"/>
                <w:iCs w:val="0"/>
                <w:color w:val="000000"/>
                <w:kern w:val="0"/>
                <w:sz w:val="22"/>
                <w:szCs w:val="22"/>
                <w:u w:val="none"/>
                <w:bdr w:val="none" w:color="auto" w:sz="0" w:space="0"/>
                <w:lang w:val="en-US" w:eastAsia="zh-CN" w:bidi="ar"/>
              </w:rPr>
              <w:t>”</w:t>
            </w:r>
            <w:r>
              <w:rPr>
                <w:rFonts w:hint="eastAsia" w:ascii="宋体" w:hAnsi="宋体" w:eastAsia="宋体" w:cs="宋体"/>
                <w:i w:val="0"/>
                <w:iCs w:val="0"/>
                <w:color w:val="000000"/>
                <w:kern w:val="0"/>
                <w:sz w:val="22"/>
                <w:szCs w:val="22"/>
                <w:u w:val="none"/>
                <w:bdr w:val="none" w:color="auto" w:sz="0" w:space="0"/>
                <w:lang w:val="en-US" w:eastAsia="zh-CN" w:bidi="ar"/>
              </w:rPr>
              <w:t>科技规划纲要》</w:t>
            </w:r>
          </w:p>
        </w:tc>
        <w:tc>
          <w:tcPr>
            <w:tcW w:w="4989" w:type="dxa"/>
            <w:tcBorders>
              <w:top w:val="single" w:color="000000" w:sz="4" w:space="0"/>
              <w:left w:val="single" w:color="000000" w:sz="4" w:space="0"/>
              <w:bottom w:val="single" w:color="000000" w:sz="4" w:space="0"/>
              <w:right w:val="single" w:color="000000" w:sz="4" w:space="0"/>
            </w:tcBorders>
            <w:shd w:val="clear"/>
            <w:vAlign w:val="center"/>
          </w:tcPr>
          <w:p w14:paraId="38F096D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该规划纲要构建了以企业为主体、市场为导向的产学研深度融合的技术创新体系，推动创新药物研发，强调提高新药研发的效率和质量，加快医药产业转型升级。</w:t>
            </w:r>
          </w:p>
        </w:tc>
      </w:tr>
      <w:tr w14:paraId="2742CEFF">
        <w:trPr>
          <w:trHeight w:val="1360" w:hRule="atLeast"/>
        </w:trPr>
        <w:tc>
          <w:tcPr>
            <w:tcW w:w="774" w:type="dxa"/>
            <w:tcBorders>
              <w:top w:val="single" w:color="000000" w:sz="4" w:space="0"/>
              <w:left w:val="single" w:color="000000" w:sz="4" w:space="0"/>
              <w:bottom w:val="single" w:color="000000" w:sz="4" w:space="0"/>
              <w:right w:val="single" w:color="000000" w:sz="4" w:space="0"/>
            </w:tcBorders>
            <w:shd w:val="clear"/>
            <w:vAlign w:val="center"/>
          </w:tcPr>
          <w:p w14:paraId="3381E0DA">
            <w:pPr>
              <w:keepNext w:val="0"/>
              <w:keepLines w:val="0"/>
              <w:widowControl/>
              <w:suppressLineNumbers w:val="0"/>
              <w:jc w:val="center"/>
              <w:textAlignment w:val="center"/>
              <w:rPr>
                <w:rFonts w:hint="default" w:ascii="Times New Roman Regular" w:hAnsi="Times New Roman Regular" w:eastAsia="Times New Roman Regular" w:cs="Times New Roman Regular"/>
                <w:b/>
                <w:bCs/>
                <w:i w:val="0"/>
                <w:iCs w:val="0"/>
                <w:color w:val="000000"/>
                <w:sz w:val="22"/>
                <w:szCs w:val="22"/>
                <w:u w:val="none"/>
              </w:rPr>
            </w:pPr>
            <w:r>
              <w:rPr>
                <w:rFonts w:hint="default" w:ascii="Times New Roman Regular" w:hAnsi="Times New Roman Regular" w:eastAsia="Times New Roman Regular" w:cs="Times New Roman Regular"/>
                <w:b/>
                <w:bCs/>
                <w:i w:val="0"/>
                <w:iCs w:val="0"/>
                <w:color w:val="000000"/>
                <w:kern w:val="0"/>
                <w:sz w:val="22"/>
                <w:szCs w:val="22"/>
                <w:u w:val="none"/>
                <w:bdr w:val="none" w:color="auto" w:sz="0" w:space="0"/>
                <w:lang w:val="en-US" w:eastAsia="zh-CN" w:bidi="ar"/>
              </w:rPr>
              <w:t>2016</w:t>
            </w:r>
          </w:p>
        </w:tc>
        <w:tc>
          <w:tcPr>
            <w:tcW w:w="2596" w:type="dxa"/>
            <w:tcBorders>
              <w:top w:val="single" w:color="000000" w:sz="4" w:space="0"/>
              <w:left w:val="single" w:color="000000" w:sz="4" w:space="0"/>
              <w:bottom w:val="single" w:color="000000" w:sz="4" w:space="0"/>
              <w:right w:val="single" w:color="000000" w:sz="4" w:space="0"/>
            </w:tcBorders>
            <w:shd w:val="clear"/>
            <w:vAlign w:val="center"/>
          </w:tcPr>
          <w:p w14:paraId="5D5E547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w:t>
            </w:r>
            <w:r>
              <w:rPr>
                <w:rFonts w:hint="default" w:ascii="Times New Roman Regular" w:hAnsi="Times New Roman Regular" w:eastAsia="Times New Roman Regular" w:cs="Times New Roman Regular"/>
                <w:i w:val="0"/>
                <w:iCs w:val="0"/>
                <w:color w:val="000000"/>
                <w:kern w:val="0"/>
                <w:sz w:val="22"/>
                <w:szCs w:val="22"/>
                <w:u w:val="none"/>
                <w:bdr w:val="none" w:color="auto" w:sz="0" w:space="0"/>
                <w:lang w:val="en-US" w:eastAsia="zh-CN" w:bidi="ar"/>
              </w:rPr>
              <w:t>"</w:t>
            </w:r>
            <w:r>
              <w:rPr>
                <w:rFonts w:hint="eastAsia" w:ascii="宋体" w:hAnsi="宋体" w:eastAsia="宋体" w:cs="宋体"/>
                <w:i w:val="0"/>
                <w:iCs w:val="0"/>
                <w:color w:val="000000"/>
                <w:kern w:val="0"/>
                <w:sz w:val="22"/>
                <w:szCs w:val="22"/>
                <w:u w:val="none"/>
                <w:bdr w:val="none" w:color="auto" w:sz="0" w:space="0"/>
                <w:lang w:val="en-US" w:eastAsia="zh-CN" w:bidi="ar"/>
              </w:rPr>
              <w:t>健康中国</w:t>
            </w:r>
            <w:r>
              <w:rPr>
                <w:rFonts w:hint="default" w:ascii="Times New Roman Regular" w:hAnsi="Times New Roman Regular" w:eastAsia="Times New Roman Regular" w:cs="Times New Roman Regular"/>
                <w:i w:val="0"/>
                <w:iCs w:val="0"/>
                <w:color w:val="000000"/>
                <w:kern w:val="0"/>
                <w:sz w:val="22"/>
                <w:szCs w:val="22"/>
                <w:u w:val="none"/>
                <w:bdr w:val="none" w:color="auto" w:sz="0" w:space="0"/>
                <w:lang w:val="en-US" w:eastAsia="zh-CN" w:bidi="ar"/>
              </w:rPr>
              <w:t>2030"</w:t>
            </w:r>
            <w:r>
              <w:rPr>
                <w:rFonts w:hint="eastAsia" w:ascii="宋体" w:hAnsi="宋体" w:eastAsia="宋体" w:cs="宋体"/>
                <w:i w:val="0"/>
                <w:iCs w:val="0"/>
                <w:color w:val="000000"/>
                <w:kern w:val="0"/>
                <w:sz w:val="22"/>
                <w:szCs w:val="22"/>
                <w:u w:val="none"/>
                <w:bdr w:val="none" w:color="auto" w:sz="0" w:space="0"/>
                <w:lang w:val="en-US" w:eastAsia="zh-CN" w:bidi="ar"/>
              </w:rPr>
              <w:t>规划纲要》</w:t>
            </w:r>
          </w:p>
        </w:tc>
        <w:tc>
          <w:tcPr>
            <w:tcW w:w="4989" w:type="dxa"/>
            <w:tcBorders>
              <w:top w:val="single" w:color="000000" w:sz="4" w:space="0"/>
              <w:left w:val="single" w:color="000000" w:sz="4" w:space="0"/>
              <w:bottom w:val="single" w:color="000000" w:sz="4" w:space="0"/>
              <w:right w:val="single" w:color="000000" w:sz="4" w:space="0"/>
            </w:tcBorders>
            <w:shd w:val="clear"/>
            <w:vAlign w:val="center"/>
          </w:tcPr>
          <w:p w14:paraId="3E80661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该规划纲要制定了至</w:t>
            </w:r>
            <w:r>
              <w:rPr>
                <w:rFonts w:hint="default" w:ascii="Times New Roman Regular" w:hAnsi="Times New Roman Regular" w:eastAsia="Times New Roman Regular" w:cs="Times New Roman Regular"/>
                <w:i w:val="0"/>
                <w:iCs w:val="0"/>
                <w:color w:val="000000"/>
                <w:kern w:val="0"/>
                <w:sz w:val="22"/>
                <w:szCs w:val="22"/>
                <w:u w:val="none"/>
                <w:bdr w:val="none" w:color="auto" w:sz="0" w:space="0"/>
                <w:lang w:val="en-US" w:eastAsia="zh-CN" w:bidi="ar"/>
              </w:rPr>
              <w:t>2030</w:t>
            </w:r>
            <w:r>
              <w:rPr>
                <w:rFonts w:hint="eastAsia" w:ascii="宋体" w:hAnsi="宋体" w:eastAsia="宋体" w:cs="宋体"/>
                <w:i w:val="0"/>
                <w:iCs w:val="0"/>
                <w:color w:val="000000"/>
                <w:kern w:val="0"/>
                <w:sz w:val="22"/>
                <w:szCs w:val="22"/>
                <w:u w:val="none"/>
                <w:bdr w:val="none" w:color="auto" w:sz="0" w:space="0"/>
                <w:lang w:val="en-US" w:eastAsia="zh-CN" w:bidi="ar"/>
              </w:rPr>
              <w:t>年的健康中国建设规划，提出健康优先的发展战略，强调提高药品供应保障能力，推动创新药物的研发和应用，以提升国民健康水平。</w:t>
            </w:r>
          </w:p>
        </w:tc>
      </w:tr>
      <w:tr w14:paraId="4B6F38AB">
        <w:trPr>
          <w:trHeight w:val="1360" w:hRule="atLeast"/>
        </w:trPr>
        <w:tc>
          <w:tcPr>
            <w:tcW w:w="774" w:type="dxa"/>
            <w:tcBorders>
              <w:top w:val="single" w:color="000000" w:sz="4" w:space="0"/>
              <w:left w:val="single" w:color="000000" w:sz="4" w:space="0"/>
              <w:bottom w:val="single" w:color="000000" w:sz="4" w:space="0"/>
              <w:right w:val="single" w:color="000000" w:sz="4" w:space="0"/>
            </w:tcBorders>
            <w:shd w:val="clear"/>
            <w:vAlign w:val="center"/>
          </w:tcPr>
          <w:p w14:paraId="1102817A">
            <w:pPr>
              <w:keepNext w:val="0"/>
              <w:keepLines w:val="0"/>
              <w:widowControl/>
              <w:suppressLineNumbers w:val="0"/>
              <w:jc w:val="center"/>
              <w:textAlignment w:val="center"/>
              <w:rPr>
                <w:rFonts w:hint="default" w:ascii="Times New Roman Regular" w:hAnsi="Times New Roman Regular" w:eastAsia="Times New Roman Regular" w:cs="Times New Roman Regular"/>
                <w:b/>
                <w:bCs/>
                <w:i w:val="0"/>
                <w:iCs w:val="0"/>
                <w:color w:val="000000"/>
                <w:sz w:val="22"/>
                <w:szCs w:val="22"/>
                <w:u w:val="none"/>
              </w:rPr>
            </w:pPr>
            <w:r>
              <w:rPr>
                <w:rFonts w:hint="default" w:ascii="Times New Roman Regular" w:hAnsi="Times New Roman Regular" w:eastAsia="Times New Roman Regular" w:cs="Times New Roman Regular"/>
                <w:b/>
                <w:bCs/>
                <w:i w:val="0"/>
                <w:iCs w:val="0"/>
                <w:color w:val="000000"/>
                <w:kern w:val="0"/>
                <w:sz w:val="22"/>
                <w:szCs w:val="22"/>
                <w:u w:val="none"/>
                <w:bdr w:val="none" w:color="auto" w:sz="0" w:space="0"/>
                <w:lang w:val="en-US" w:eastAsia="zh-CN" w:bidi="ar"/>
              </w:rPr>
              <w:t>2016</w:t>
            </w:r>
          </w:p>
        </w:tc>
        <w:tc>
          <w:tcPr>
            <w:tcW w:w="2596" w:type="dxa"/>
            <w:tcBorders>
              <w:top w:val="single" w:color="000000" w:sz="4" w:space="0"/>
              <w:left w:val="single" w:color="000000" w:sz="4" w:space="0"/>
              <w:bottom w:val="single" w:color="000000" w:sz="4" w:space="0"/>
              <w:right w:val="single" w:color="000000" w:sz="4" w:space="0"/>
            </w:tcBorders>
            <w:shd w:val="clear"/>
            <w:vAlign w:val="center"/>
          </w:tcPr>
          <w:p w14:paraId="6DCC01E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《关于支持生物医药产业发展的若干政策措施》</w:t>
            </w:r>
          </w:p>
        </w:tc>
        <w:tc>
          <w:tcPr>
            <w:tcW w:w="4989" w:type="dxa"/>
            <w:tcBorders>
              <w:top w:val="single" w:color="000000" w:sz="4" w:space="0"/>
              <w:left w:val="single" w:color="000000" w:sz="4" w:space="0"/>
              <w:bottom w:val="single" w:color="000000" w:sz="4" w:space="0"/>
              <w:right w:val="single" w:color="000000" w:sz="4" w:space="0"/>
            </w:tcBorders>
            <w:shd w:val="clear"/>
            <w:vAlign w:val="center"/>
          </w:tcPr>
          <w:p w14:paraId="34724E6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该政策措施旨在支持生物医药产业发展，通过优化政策环境，加大财政支持力度，促进科技创新和成果转化，加快构建具有国际竞争力的生物医药产业体系。</w:t>
            </w:r>
          </w:p>
        </w:tc>
      </w:tr>
      <w:tr w14:paraId="304ACA55">
        <w:trPr>
          <w:trHeight w:val="1020" w:hRule="atLeast"/>
        </w:trPr>
        <w:tc>
          <w:tcPr>
            <w:tcW w:w="774" w:type="dxa"/>
            <w:tcBorders>
              <w:top w:val="single" w:color="000000" w:sz="4" w:space="0"/>
              <w:left w:val="single" w:color="000000" w:sz="4" w:space="0"/>
              <w:bottom w:val="single" w:color="000000" w:sz="4" w:space="0"/>
              <w:right w:val="single" w:color="000000" w:sz="4" w:space="0"/>
            </w:tcBorders>
            <w:shd w:val="clear"/>
            <w:vAlign w:val="center"/>
          </w:tcPr>
          <w:p w14:paraId="45A9124E">
            <w:pPr>
              <w:keepNext w:val="0"/>
              <w:keepLines w:val="0"/>
              <w:widowControl/>
              <w:suppressLineNumbers w:val="0"/>
              <w:jc w:val="center"/>
              <w:textAlignment w:val="center"/>
              <w:rPr>
                <w:rFonts w:hint="default" w:ascii="Times New Roman Regular" w:hAnsi="Times New Roman Regular" w:eastAsia="Times New Roman Regular" w:cs="Times New Roman Regular"/>
                <w:b/>
                <w:bCs/>
                <w:i w:val="0"/>
                <w:iCs w:val="0"/>
                <w:color w:val="000000"/>
                <w:sz w:val="22"/>
                <w:szCs w:val="22"/>
                <w:u w:val="none"/>
              </w:rPr>
            </w:pPr>
            <w:r>
              <w:rPr>
                <w:rFonts w:hint="default" w:ascii="Times New Roman Regular" w:hAnsi="Times New Roman Regular" w:eastAsia="Times New Roman Regular" w:cs="Times New Roman Regular"/>
                <w:b/>
                <w:bCs/>
                <w:i w:val="0"/>
                <w:iCs w:val="0"/>
                <w:color w:val="000000"/>
                <w:kern w:val="0"/>
                <w:sz w:val="22"/>
                <w:szCs w:val="22"/>
                <w:u w:val="none"/>
                <w:bdr w:val="none" w:color="auto" w:sz="0" w:space="0"/>
                <w:lang w:val="en-US" w:eastAsia="zh-CN" w:bidi="ar"/>
              </w:rPr>
              <w:t>2016</w:t>
            </w:r>
          </w:p>
        </w:tc>
        <w:tc>
          <w:tcPr>
            <w:tcW w:w="2596" w:type="dxa"/>
            <w:tcBorders>
              <w:top w:val="single" w:color="000000" w:sz="4" w:space="0"/>
              <w:left w:val="single" w:color="000000" w:sz="4" w:space="0"/>
              <w:bottom w:val="single" w:color="000000" w:sz="4" w:space="0"/>
              <w:right w:val="single" w:color="000000" w:sz="4" w:space="0"/>
            </w:tcBorders>
            <w:shd w:val="clear"/>
            <w:vAlign w:val="center"/>
          </w:tcPr>
          <w:p w14:paraId="0519E22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《关于延长授权国务院在部分地方开展药品上市许可持有人制度试点期限的决定（草案）的说明》</w:t>
            </w:r>
          </w:p>
        </w:tc>
        <w:tc>
          <w:tcPr>
            <w:tcW w:w="4989" w:type="dxa"/>
            <w:tcBorders>
              <w:top w:val="single" w:color="000000" w:sz="4" w:space="0"/>
              <w:left w:val="single" w:color="000000" w:sz="4" w:space="0"/>
              <w:bottom w:val="single" w:color="000000" w:sz="4" w:space="0"/>
              <w:right w:val="single" w:color="000000" w:sz="4" w:space="0"/>
            </w:tcBorders>
            <w:shd w:val="clear"/>
            <w:vAlign w:val="center"/>
          </w:tcPr>
          <w:p w14:paraId="3956216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拟将试点期限延长至修改完善后的药品管理法施行之日</w:t>
            </w:r>
          </w:p>
        </w:tc>
      </w:tr>
      <w:tr w14:paraId="41F23134">
        <w:trPr>
          <w:trHeight w:val="680" w:hRule="atLeast"/>
        </w:trPr>
        <w:tc>
          <w:tcPr>
            <w:tcW w:w="774" w:type="dxa"/>
            <w:tcBorders>
              <w:top w:val="single" w:color="000000" w:sz="4" w:space="0"/>
              <w:left w:val="single" w:color="000000" w:sz="4" w:space="0"/>
              <w:bottom w:val="single" w:color="000000" w:sz="4" w:space="0"/>
              <w:right w:val="single" w:color="000000" w:sz="4" w:space="0"/>
            </w:tcBorders>
            <w:shd w:val="clear"/>
            <w:vAlign w:val="center"/>
          </w:tcPr>
          <w:p w14:paraId="320FE4F3">
            <w:pPr>
              <w:keepNext w:val="0"/>
              <w:keepLines w:val="0"/>
              <w:widowControl/>
              <w:suppressLineNumbers w:val="0"/>
              <w:jc w:val="center"/>
              <w:textAlignment w:val="center"/>
              <w:rPr>
                <w:rFonts w:hint="default" w:ascii="Times New Roman Regular" w:hAnsi="Times New Roman Regular" w:eastAsia="Times New Roman Regular" w:cs="Times New Roman Regular"/>
                <w:b/>
                <w:bCs/>
                <w:i w:val="0"/>
                <w:iCs w:val="0"/>
                <w:color w:val="000000"/>
                <w:sz w:val="22"/>
                <w:szCs w:val="22"/>
                <w:u w:val="none"/>
              </w:rPr>
            </w:pPr>
            <w:r>
              <w:rPr>
                <w:rFonts w:hint="default" w:ascii="Times New Roman Regular" w:hAnsi="Times New Roman Regular" w:eastAsia="Times New Roman Regular" w:cs="Times New Roman Regular"/>
                <w:b/>
                <w:bCs/>
                <w:i w:val="0"/>
                <w:iCs w:val="0"/>
                <w:color w:val="000000"/>
                <w:kern w:val="0"/>
                <w:sz w:val="22"/>
                <w:szCs w:val="22"/>
                <w:u w:val="none"/>
                <w:bdr w:val="none" w:color="auto" w:sz="0" w:space="0"/>
                <w:lang w:val="en-US" w:eastAsia="zh-CN" w:bidi="ar"/>
              </w:rPr>
              <w:t>2016</w:t>
            </w:r>
          </w:p>
        </w:tc>
        <w:tc>
          <w:tcPr>
            <w:tcW w:w="2596" w:type="dxa"/>
            <w:tcBorders>
              <w:top w:val="single" w:color="000000" w:sz="4" w:space="0"/>
              <w:left w:val="single" w:color="000000" w:sz="4" w:space="0"/>
              <w:bottom w:val="single" w:color="000000" w:sz="4" w:space="0"/>
              <w:right w:val="single" w:color="000000" w:sz="4" w:space="0"/>
            </w:tcBorders>
            <w:shd w:val="clear"/>
            <w:vAlign w:val="center"/>
          </w:tcPr>
          <w:p w14:paraId="12DDF29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 xml:space="preserve">《药物研发与技术审 评沟通交流管理办法(试行)》 </w:t>
            </w:r>
          </w:p>
        </w:tc>
        <w:tc>
          <w:tcPr>
            <w:tcW w:w="4989" w:type="dxa"/>
            <w:tcBorders>
              <w:top w:val="single" w:color="000000" w:sz="4" w:space="0"/>
              <w:left w:val="single" w:color="000000" w:sz="4" w:space="0"/>
              <w:bottom w:val="single" w:color="000000" w:sz="4" w:space="0"/>
              <w:right w:val="single" w:color="000000" w:sz="4" w:space="0"/>
            </w:tcBorders>
            <w:shd w:val="clear"/>
            <w:vAlign w:val="center"/>
          </w:tcPr>
          <w:p w14:paraId="73C6C86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沟通会议类型（I重大技术/安全性问题 II研发关键阶段 III其他 e.g.改良）</w:t>
            </w:r>
          </w:p>
        </w:tc>
      </w:tr>
      <w:tr w14:paraId="7AA275BA">
        <w:trPr>
          <w:trHeight w:val="680" w:hRule="atLeast"/>
        </w:trPr>
        <w:tc>
          <w:tcPr>
            <w:tcW w:w="774" w:type="dxa"/>
            <w:tcBorders>
              <w:top w:val="single" w:color="000000" w:sz="4" w:space="0"/>
              <w:left w:val="single" w:color="000000" w:sz="4" w:space="0"/>
              <w:bottom w:val="single" w:color="000000" w:sz="4" w:space="0"/>
              <w:right w:val="single" w:color="000000" w:sz="4" w:space="0"/>
            </w:tcBorders>
            <w:shd w:val="clear"/>
            <w:vAlign w:val="center"/>
          </w:tcPr>
          <w:p w14:paraId="747C994E">
            <w:pPr>
              <w:keepNext w:val="0"/>
              <w:keepLines w:val="0"/>
              <w:widowControl/>
              <w:suppressLineNumbers w:val="0"/>
              <w:jc w:val="center"/>
              <w:textAlignment w:val="center"/>
              <w:rPr>
                <w:rFonts w:hint="default" w:ascii="Times New Roman Regular" w:hAnsi="Times New Roman Regular" w:eastAsia="Times New Roman Regular" w:cs="Times New Roman Regular"/>
                <w:b/>
                <w:bCs/>
                <w:i w:val="0"/>
                <w:iCs w:val="0"/>
                <w:color w:val="000000"/>
                <w:sz w:val="22"/>
                <w:szCs w:val="22"/>
                <w:u w:val="none"/>
              </w:rPr>
            </w:pPr>
            <w:r>
              <w:rPr>
                <w:rFonts w:hint="default" w:ascii="Times New Roman Regular" w:hAnsi="Times New Roman Regular" w:eastAsia="Times New Roman Regular" w:cs="Times New Roman Regular"/>
                <w:b/>
                <w:bCs/>
                <w:i w:val="0"/>
                <w:iCs w:val="0"/>
                <w:color w:val="000000"/>
                <w:kern w:val="0"/>
                <w:sz w:val="22"/>
                <w:szCs w:val="22"/>
                <w:u w:val="none"/>
                <w:bdr w:val="none" w:color="auto" w:sz="0" w:space="0"/>
                <w:lang w:val="en-US" w:eastAsia="zh-CN" w:bidi="ar"/>
              </w:rPr>
              <w:t>2017</w:t>
            </w:r>
          </w:p>
        </w:tc>
        <w:tc>
          <w:tcPr>
            <w:tcW w:w="2596" w:type="dxa"/>
            <w:tcBorders>
              <w:top w:val="single" w:color="000000" w:sz="4" w:space="0"/>
              <w:left w:val="single" w:color="000000" w:sz="4" w:space="0"/>
              <w:bottom w:val="single" w:color="000000" w:sz="4" w:space="0"/>
              <w:right w:val="single" w:color="000000" w:sz="4" w:space="0"/>
            </w:tcBorders>
            <w:shd w:val="clear"/>
            <w:vAlign w:val="center"/>
          </w:tcPr>
          <w:p w14:paraId="4B5B24D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《关于深化审评审批制度改革鼓励药品医疗器械创新的意见》</w:t>
            </w:r>
          </w:p>
        </w:tc>
        <w:tc>
          <w:tcPr>
            <w:tcW w:w="4989" w:type="dxa"/>
            <w:tcBorders>
              <w:top w:val="single" w:color="000000" w:sz="4" w:space="0"/>
              <w:left w:val="single" w:color="000000" w:sz="4" w:space="0"/>
              <w:bottom w:val="single" w:color="000000" w:sz="4" w:space="0"/>
              <w:right w:val="single" w:color="000000" w:sz="4" w:space="0"/>
            </w:tcBorders>
            <w:shd w:val="clear"/>
            <w:vAlign w:val="center"/>
          </w:tcPr>
          <w:p w14:paraId="79B9F89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提出改革药品医疗器械审评审批制度，鼓励创新。</w:t>
            </w:r>
          </w:p>
        </w:tc>
      </w:tr>
      <w:tr w14:paraId="5AD70FD0">
        <w:trPr>
          <w:trHeight w:val="680" w:hRule="atLeast"/>
        </w:trPr>
        <w:tc>
          <w:tcPr>
            <w:tcW w:w="774" w:type="dxa"/>
            <w:tcBorders>
              <w:top w:val="single" w:color="000000" w:sz="4" w:space="0"/>
              <w:left w:val="single" w:color="000000" w:sz="4" w:space="0"/>
              <w:bottom w:val="single" w:color="000000" w:sz="4" w:space="0"/>
              <w:right w:val="single" w:color="000000" w:sz="4" w:space="0"/>
            </w:tcBorders>
            <w:shd w:val="clear"/>
            <w:vAlign w:val="center"/>
          </w:tcPr>
          <w:p w14:paraId="61532969">
            <w:pPr>
              <w:keepNext w:val="0"/>
              <w:keepLines w:val="0"/>
              <w:widowControl/>
              <w:suppressLineNumbers w:val="0"/>
              <w:jc w:val="center"/>
              <w:textAlignment w:val="center"/>
              <w:rPr>
                <w:rFonts w:hint="default" w:ascii="Times New Roman Regular" w:hAnsi="Times New Roman Regular" w:eastAsia="Times New Roman Regular" w:cs="Times New Roman Regular"/>
                <w:b/>
                <w:bCs/>
                <w:i w:val="0"/>
                <w:iCs w:val="0"/>
                <w:color w:val="000000"/>
                <w:sz w:val="22"/>
                <w:szCs w:val="22"/>
                <w:u w:val="none"/>
              </w:rPr>
            </w:pPr>
            <w:r>
              <w:rPr>
                <w:rFonts w:hint="default" w:ascii="Times New Roman Regular" w:hAnsi="Times New Roman Regular" w:eastAsia="Times New Roman Regular" w:cs="Times New Roman Regular"/>
                <w:b/>
                <w:bCs/>
                <w:i w:val="0"/>
                <w:iCs w:val="0"/>
                <w:color w:val="000000"/>
                <w:kern w:val="0"/>
                <w:sz w:val="22"/>
                <w:szCs w:val="22"/>
                <w:u w:val="none"/>
                <w:bdr w:val="none" w:color="auto" w:sz="0" w:space="0"/>
                <w:lang w:val="en-US" w:eastAsia="zh-CN" w:bidi="ar"/>
              </w:rPr>
              <w:t>2018</w:t>
            </w:r>
          </w:p>
        </w:tc>
        <w:tc>
          <w:tcPr>
            <w:tcW w:w="2596" w:type="dxa"/>
            <w:tcBorders>
              <w:top w:val="single" w:color="000000" w:sz="4" w:space="0"/>
              <w:left w:val="single" w:color="000000" w:sz="4" w:space="0"/>
              <w:bottom w:val="single" w:color="000000" w:sz="4" w:space="0"/>
              <w:right w:val="single" w:color="000000" w:sz="4" w:space="0"/>
            </w:tcBorders>
            <w:shd w:val="clear"/>
            <w:vAlign w:val="center"/>
          </w:tcPr>
          <w:p w14:paraId="33A1ACD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《国家医保局</w:t>
            </w:r>
            <w:r>
              <w:rPr>
                <w:rFonts w:hint="default" w:ascii="Times New Roman Regular" w:hAnsi="Times New Roman Regular" w:eastAsia="Times New Roman Regular" w:cs="Times New Roman Regular"/>
                <w:i w:val="0"/>
                <w:iCs w:val="0"/>
                <w:color w:val="000000"/>
                <w:kern w:val="0"/>
                <w:sz w:val="22"/>
                <w:szCs w:val="22"/>
                <w:u w:val="none"/>
                <w:bdr w:val="none" w:color="auto" w:sz="0" w:space="0"/>
                <w:lang w:val="en-US" w:eastAsia="zh-CN" w:bidi="ar"/>
              </w:rPr>
              <w:t xml:space="preserve"> </w:t>
            </w:r>
            <w:r>
              <w:rPr>
                <w:rFonts w:hint="eastAsia" w:ascii="宋体" w:hAnsi="宋体" w:eastAsia="宋体" w:cs="宋体"/>
                <w:i w:val="0"/>
                <w:iCs w:val="0"/>
                <w:color w:val="000000"/>
                <w:kern w:val="0"/>
                <w:sz w:val="22"/>
                <w:szCs w:val="22"/>
                <w:u w:val="none"/>
                <w:bdr w:val="none" w:color="auto" w:sz="0" w:space="0"/>
                <w:lang w:val="en-US" w:eastAsia="zh-CN" w:bidi="ar"/>
              </w:rPr>
              <w:t>国家卫生健康委关于开展国家组织药品集中采购和使用试点工作的通知》</w:t>
            </w:r>
          </w:p>
        </w:tc>
        <w:tc>
          <w:tcPr>
            <w:tcW w:w="4989" w:type="dxa"/>
            <w:tcBorders>
              <w:top w:val="single" w:color="000000" w:sz="4" w:space="0"/>
              <w:left w:val="single" w:color="000000" w:sz="4" w:space="0"/>
              <w:bottom w:val="single" w:color="000000" w:sz="4" w:space="0"/>
              <w:right w:val="single" w:color="000000" w:sz="4" w:space="0"/>
            </w:tcBorders>
            <w:shd w:val="clear"/>
            <w:vAlign w:val="center"/>
          </w:tcPr>
          <w:p w14:paraId="2AEB4AE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国家组织药品集中采购，降低药品价格，减轻患者负担</w:t>
            </w:r>
          </w:p>
        </w:tc>
      </w:tr>
      <w:tr w14:paraId="35D46AA6">
        <w:trPr>
          <w:trHeight w:val="1680" w:hRule="atLeast"/>
        </w:trPr>
        <w:tc>
          <w:tcPr>
            <w:tcW w:w="774" w:type="dxa"/>
            <w:tcBorders>
              <w:top w:val="single" w:color="000000" w:sz="4" w:space="0"/>
              <w:left w:val="single" w:color="000000" w:sz="4" w:space="0"/>
              <w:bottom w:val="single" w:color="000000" w:sz="4" w:space="0"/>
              <w:right w:val="single" w:color="000000" w:sz="4" w:space="0"/>
            </w:tcBorders>
            <w:shd w:val="clear"/>
            <w:vAlign w:val="center"/>
          </w:tcPr>
          <w:p w14:paraId="062B43AD">
            <w:pPr>
              <w:keepNext w:val="0"/>
              <w:keepLines w:val="0"/>
              <w:widowControl/>
              <w:suppressLineNumbers w:val="0"/>
              <w:jc w:val="center"/>
              <w:textAlignment w:val="center"/>
              <w:rPr>
                <w:rFonts w:hint="default" w:ascii="Times New Roman Regular" w:hAnsi="Times New Roman Regular" w:eastAsia="Times New Roman Regular" w:cs="Times New Roman Regular"/>
                <w:b/>
                <w:bCs/>
                <w:i w:val="0"/>
                <w:iCs w:val="0"/>
                <w:color w:val="000000"/>
                <w:sz w:val="22"/>
                <w:szCs w:val="22"/>
                <w:u w:val="none"/>
              </w:rPr>
            </w:pPr>
            <w:r>
              <w:rPr>
                <w:rFonts w:hint="default" w:ascii="Times New Roman Regular" w:hAnsi="Times New Roman Regular" w:eastAsia="Times New Roman Regular" w:cs="Times New Roman Regular"/>
                <w:b/>
                <w:bCs/>
                <w:i w:val="0"/>
                <w:iCs w:val="0"/>
                <w:color w:val="000000"/>
                <w:kern w:val="0"/>
                <w:sz w:val="22"/>
                <w:szCs w:val="22"/>
                <w:u w:val="none"/>
                <w:bdr w:val="none" w:color="auto" w:sz="0" w:space="0"/>
                <w:lang w:val="en-US" w:eastAsia="zh-CN" w:bidi="ar"/>
              </w:rPr>
              <w:t>2018</w:t>
            </w:r>
          </w:p>
        </w:tc>
        <w:tc>
          <w:tcPr>
            <w:tcW w:w="2596" w:type="dxa"/>
            <w:tcBorders>
              <w:top w:val="single" w:color="000000" w:sz="4" w:space="0"/>
              <w:left w:val="single" w:color="000000" w:sz="4" w:space="0"/>
              <w:bottom w:val="single" w:color="000000" w:sz="4" w:space="0"/>
              <w:right w:val="single" w:color="000000" w:sz="4" w:space="0"/>
            </w:tcBorders>
            <w:shd w:val="clear"/>
            <w:vAlign w:val="center"/>
          </w:tcPr>
          <w:p w14:paraId="1B54603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《国家基本药物目录（</w:t>
            </w:r>
            <w:r>
              <w:rPr>
                <w:rFonts w:hint="default" w:ascii="Times New Roman Regular" w:hAnsi="Times New Roman Regular" w:eastAsia="Times New Roman Regular" w:cs="Times New Roman Regular"/>
                <w:i w:val="0"/>
                <w:iCs w:val="0"/>
                <w:color w:val="000000"/>
                <w:kern w:val="0"/>
                <w:sz w:val="22"/>
                <w:szCs w:val="22"/>
                <w:u w:val="none"/>
                <w:bdr w:val="none" w:color="auto" w:sz="0" w:space="0"/>
                <w:lang w:val="en-US" w:eastAsia="zh-CN" w:bidi="ar"/>
              </w:rPr>
              <w:t>2018</w:t>
            </w:r>
            <w:r>
              <w:rPr>
                <w:rFonts w:hint="eastAsia" w:ascii="宋体" w:hAnsi="宋体" w:eastAsia="宋体" w:cs="宋体"/>
                <w:i w:val="0"/>
                <w:iCs w:val="0"/>
                <w:color w:val="000000"/>
                <w:kern w:val="0"/>
                <w:sz w:val="22"/>
                <w:szCs w:val="22"/>
                <w:u w:val="none"/>
                <w:bdr w:val="none" w:color="auto" w:sz="0" w:space="0"/>
                <w:lang w:val="en-US" w:eastAsia="zh-CN" w:bidi="ar"/>
              </w:rPr>
              <w:t>年版）》</w:t>
            </w:r>
          </w:p>
        </w:tc>
        <w:tc>
          <w:tcPr>
            <w:tcW w:w="4989" w:type="dxa"/>
            <w:tcBorders>
              <w:top w:val="single" w:color="000000" w:sz="4" w:space="0"/>
              <w:left w:val="single" w:color="000000" w:sz="4" w:space="0"/>
              <w:bottom w:val="single" w:color="000000" w:sz="4" w:space="0"/>
              <w:right w:val="single" w:color="000000" w:sz="4" w:space="0"/>
            </w:tcBorders>
            <w:shd w:val="clear"/>
            <w:vAlign w:val="center"/>
          </w:tcPr>
          <w:p w14:paraId="41878B7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自医保局成立以来，累计有</w:t>
            </w:r>
            <w:r>
              <w:rPr>
                <w:rFonts w:hint="default" w:ascii="Times New Roman Regular" w:hAnsi="Times New Roman Regular" w:eastAsia="Times New Roman Regular" w:cs="Times New Roman Regular"/>
                <w:i w:val="0"/>
                <w:iCs w:val="0"/>
                <w:color w:val="000000"/>
                <w:kern w:val="0"/>
                <w:sz w:val="22"/>
                <w:szCs w:val="22"/>
                <w:u w:val="none"/>
                <w:bdr w:val="none" w:color="auto" w:sz="0" w:space="0"/>
                <w:lang w:val="en-US" w:eastAsia="zh-CN" w:bidi="ar"/>
              </w:rPr>
              <w:t>700</w:t>
            </w:r>
            <w:r>
              <w:rPr>
                <w:rFonts w:hint="eastAsia" w:ascii="宋体" w:hAnsi="宋体" w:eastAsia="宋体" w:cs="宋体"/>
                <w:i w:val="0"/>
                <w:iCs w:val="0"/>
                <w:color w:val="000000"/>
                <w:kern w:val="0"/>
                <w:sz w:val="22"/>
                <w:szCs w:val="22"/>
                <w:u w:val="none"/>
                <w:bdr w:val="none" w:color="auto" w:sz="0" w:space="0"/>
                <w:lang w:val="en-US" w:eastAsia="zh-CN" w:bidi="ar"/>
              </w:rPr>
              <w:t>余种救急检命的好药、创新药进入国家民保药品目录，包括通过谈判新增的</w:t>
            </w:r>
            <w:r>
              <w:rPr>
                <w:rFonts w:hint="default" w:ascii="Times New Roman Regular" w:hAnsi="Times New Roman Regular" w:eastAsia="Times New Roman Regular" w:cs="Times New Roman Regular"/>
                <w:i w:val="0"/>
                <w:iCs w:val="0"/>
                <w:color w:val="000000"/>
                <w:kern w:val="0"/>
                <w:sz w:val="22"/>
                <w:szCs w:val="22"/>
                <w:u w:val="none"/>
                <w:bdr w:val="none" w:color="auto" w:sz="0" w:space="0"/>
                <w:lang w:val="en-US" w:eastAsia="zh-CN" w:bidi="ar"/>
              </w:rPr>
              <w:t>446</w:t>
            </w:r>
            <w:r>
              <w:rPr>
                <w:rFonts w:hint="eastAsia" w:ascii="宋体" w:hAnsi="宋体" w:eastAsia="宋体" w:cs="宋体"/>
                <w:i w:val="0"/>
                <w:iCs w:val="0"/>
                <w:color w:val="000000"/>
                <w:kern w:val="0"/>
                <w:sz w:val="22"/>
                <w:szCs w:val="22"/>
                <w:u w:val="none"/>
                <w:bdr w:val="none" w:color="auto" w:sz="0" w:space="0"/>
                <w:lang w:val="en-US" w:eastAsia="zh-CN" w:bidi="ar"/>
              </w:rPr>
              <w:t>个药品，其中大部分为近年来新上市、临床价值高的药品，覆盖目录</w:t>
            </w:r>
            <w:r>
              <w:rPr>
                <w:rFonts w:hint="default" w:ascii="Times New Roman Regular" w:hAnsi="Times New Roman Regular" w:eastAsia="Times New Roman Regular" w:cs="Times New Roman Regular"/>
                <w:i w:val="0"/>
                <w:iCs w:val="0"/>
                <w:color w:val="000000"/>
                <w:kern w:val="0"/>
                <w:sz w:val="22"/>
                <w:szCs w:val="22"/>
                <w:u w:val="none"/>
                <w:bdr w:val="none" w:color="auto" w:sz="0" w:space="0"/>
                <w:lang w:val="en-US" w:eastAsia="zh-CN" w:bidi="ar"/>
              </w:rPr>
              <w:t>31</w:t>
            </w:r>
            <w:r>
              <w:rPr>
                <w:rFonts w:hint="eastAsia" w:ascii="宋体" w:hAnsi="宋体" w:eastAsia="宋体" w:cs="宋体"/>
                <w:i w:val="0"/>
                <w:iCs w:val="0"/>
                <w:color w:val="000000"/>
                <w:kern w:val="0"/>
                <w:sz w:val="22"/>
                <w:szCs w:val="22"/>
                <w:u w:val="none"/>
                <w:bdr w:val="none" w:color="auto" w:sz="0" w:space="0"/>
                <w:lang w:val="en-US" w:eastAsia="zh-CN" w:bidi="ar"/>
              </w:rPr>
              <w:t>个治疗领城</w:t>
            </w:r>
          </w:p>
        </w:tc>
      </w:tr>
      <w:tr w14:paraId="2CF57160">
        <w:trPr>
          <w:trHeight w:val="1680" w:hRule="atLeast"/>
        </w:trPr>
        <w:tc>
          <w:tcPr>
            <w:tcW w:w="774" w:type="dxa"/>
            <w:tcBorders>
              <w:top w:val="single" w:color="000000" w:sz="4" w:space="0"/>
              <w:left w:val="single" w:color="000000" w:sz="4" w:space="0"/>
              <w:bottom w:val="single" w:color="000000" w:sz="4" w:space="0"/>
              <w:right w:val="single" w:color="000000" w:sz="4" w:space="0"/>
            </w:tcBorders>
            <w:shd w:val="clear"/>
            <w:vAlign w:val="center"/>
          </w:tcPr>
          <w:p w14:paraId="3934E1E4">
            <w:pPr>
              <w:keepNext w:val="0"/>
              <w:keepLines w:val="0"/>
              <w:widowControl/>
              <w:suppressLineNumbers w:val="0"/>
              <w:jc w:val="center"/>
              <w:textAlignment w:val="center"/>
              <w:rPr>
                <w:rFonts w:hint="default" w:ascii="Times New Roman Regular" w:hAnsi="Times New Roman Regular" w:eastAsia="Times New Roman Regular" w:cs="Times New Roman Regular"/>
                <w:b/>
                <w:bCs/>
                <w:i w:val="0"/>
                <w:iCs w:val="0"/>
                <w:color w:val="000000"/>
                <w:sz w:val="22"/>
                <w:szCs w:val="22"/>
                <w:u w:val="none"/>
              </w:rPr>
            </w:pPr>
            <w:r>
              <w:rPr>
                <w:rFonts w:hint="default" w:ascii="Times New Roman Regular" w:hAnsi="Times New Roman Regular" w:eastAsia="Times New Roman Regular" w:cs="Times New Roman Regular"/>
                <w:b/>
                <w:bCs/>
                <w:i w:val="0"/>
                <w:iCs w:val="0"/>
                <w:color w:val="000000"/>
                <w:kern w:val="0"/>
                <w:sz w:val="22"/>
                <w:szCs w:val="22"/>
                <w:u w:val="none"/>
                <w:bdr w:val="none" w:color="auto" w:sz="0" w:space="0"/>
                <w:lang w:val="en-US" w:eastAsia="zh-CN" w:bidi="ar"/>
              </w:rPr>
              <w:t>2018</w:t>
            </w:r>
          </w:p>
        </w:tc>
        <w:tc>
          <w:tcPr>
            <w:tcW w:w="2596" w:type="dxa"/>
            <w:tcBorders>
              <w:top w:val="single" w:color="000000" w:sz="4" w:space="0"/>
              <w:left w:val="single" w:color="000000" w:sz="4" w:space="0"/>
              <w:bottom w:val="single" w:color="000000" w:sz="4" w:space="0"/>
              <w:right w:val="single" w:color="000000" w:sz="4" w:space="0"/>
            </w:tcBorders>
            <w:shd w:val="clear"/>
            <w:vAlign w:val="center"/>
          </w:tcPr>
          <w:p w14:paraId="001615A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《关于加强和促进食品药品科技创新工作的指导意见》</w:t>
            </w:r>
          </w:p>
        </w:tc>
        <w:tc>
          <w:tcPr>
            <w:tcW w:w="4989" w:type="dxa"/>
            <w:tcBorders>
              <w:top w:val="single" w:color="000000" w:sz="4" w:space="0"/>
              <w:left w:val="single" w:color="000000" w:sz="4" w:space="0"/>
              <w:bottom w:val="single" w:color="000000" w:sz="4" w:space="0"/>
              <w:right w:val="single" w:color="000000" w:sz="4" w:space="0"/>
            </w:tcBorders>
            <w:shd w:val="clear"/>
            <w:vAlign w:val="center"/>
          </w:tcPr>
          <w:p w14:paraId="2DA175B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重点支持创新药医疗器械研发，加强食品药品产品从研发生产到临床应用的全链条创新</w:t>
            </w:r>
            <w:r>
              <w:rPr>
                <w:rFonts w:hint="eastAsia" w:ascii="宋体" w:hAnsi="宋体" w:eastAsia="宋体" w:cs="宋体"/>
                <w:i w:val="0"/>
                <w:iCs w:val="0"/>
                <w:color w:val="000000"/>
                <w:kern w:val="0"/>
                <w:sz w:val="22"/>
                <w:szCs w:val="22"/>
                <w:u w:val="none"/>
                <w:bdr w:val="none" w:color="auto" w:sz="0" w:space="0"/>
                <w:lang w:val="en-US" w:eastAsia="zh-CN" w:bidi="ar"/>
              </w:rPr>
              <w:br w:type="textWrapping"/>
            </w:r>
            <w:r>
              <w:rPr>
                <w:rFonts w:hint="eastAsia" w:ascii="宋体" w:hAnsi="宋体" w:eastAsia="宋体" w:cs="宋体"/>
                <w:i w:val="0"/>
                <w:iCs w:val="0"/>
                <w:color w:val="000000"/>
                <w:kern w:val="0"/>
                <w:sz w:val="22"/>
                <w:szCs w:val="22"/>
                <w:u w:val="none"/>
                <w:bdr w:val="none" w:color="auto" w:sz="0" w:space="0"/>
                <w:lang w:val="en-US" w:eastAsia="zh-CN" w:bidi="ar"/>
              </w:rPr>
              <w:t>进一步推进重点实验室建设（监管新方法、检验检测新技术、标准制修订、安全性评价），对创新药品予以优先审批</w:t>
            </w:r>
          </w:p>
        </w:tc>
      </w:tr>
      <w:tr w14:paraId="6894EB4A">
        <w:trPr>
          <w:trHeight w:val="1020" w:hRule="atLeast"/>
        </w:trPr>
        <w:tc>
          <w:tcPr>
            <w:tcW w:w="774" w:type="dxa"/>
            <w:tcBorders>
              <w:top w:val="single" w:color="000000" w:sz="4" w:space="0"/>
              <w:left w:val="single" w:color="000000" w:sz="4" w:space="0"/>
              <w:bottom w:val="single" w:color="000000" w:sz="4" w:space="0"/>
              <w:right w:val="single" w:color="000000" w:sz="4" w:space="0"/>
            </w:tcBorders>
            <w:shd w:val="clear"/>
            <w:vAlign w:val="center"/>
          </w:tcPr>
          <w:p w14:paraId="6B13028B">
            <w:pPr>
              <w:keepNext w:val="0"/>
              <w:keepLines w:val="0"/>
              <w:widowControl/>
              <w:suppressLineNumbers w:val="0"/>
              <w:jc w:val="center"/>
              <w:textAlignment w:val="center"/>
              <w:rPr>
                <w:rFonts w:hint="default" w:ascii="Times New Roman Regular" w:hAnsi="Times New Roman Regular" w:eastAsia="Times New Roman Regular" w:cs="Times New Roman Regular"/>
                <w:b/>
                <w:bCs/>
                <w:i w:val="0"/>
                <w:iCs w:val="0"/>
                <w:color w:val="000000"/>
                <w:sz w:val="22"/>
                <w:szCs w:val="22"/>
                <w:u w:val="none"/>
              </w:rPr>
            </w:pPr>
            <w:r>
              <w:rPr>
                <w:rFonts w:hint="default" w:ascii="Times New Roman Regular" w:hAnsi="Times New Roman Regular" w:eastAsia="Times New Roman Regular" w:cs="Times New Roman Regular"/>
                <w:b/>
                <w:bCs/>
                <w:i w:val="0"/>
                <w:iCs w:val="0"/>
                <w:color w:val="000000"/>
                <w:kern w:val="0"/>
                <w:sz w:val="22"/>
                <w:szCs w:val="22"/>
                <w:u w:val="none"/>
                <w:bdr w:val="none" w:color="auto" w:sz="0" w:space="0"/>
                <w:lang w:val="en-US" w:eastAsia="zh-CN" w:bidi="ar"/>
              </w:rPr>
              <w:t>2019</w:t>
            </w:r>
          </w:p>
        </w:tc>
        <w:tc>
          <w:tcPr>
            <w:tcW w:w="2596" w:type="dxa"/>
            <w:tcBorders>
              <w:top w:val="single" w:color="000000" w:sz="4" w:space="0"/>
              <w:left w:val="single" w:color="000000" w:sz="4" w:space="0"/>
              <w:bottom w:val="single" w:color="000000" w:sz="4" w:space="0"/>
              <w:right w:val="single" w:color="000000" w:sz="4" w:space="0"/>
            </w:tcBorders>
            <w:shd w:val="clear"/>
            <w:vAlign w:val="center"/>
          </w:tcPr>
          <w:p w14:paraId="5B85327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《国家医保局</w:t>
            </w:r>
            <w:r>
              <w:rPr>
                <w:rFonts w:hint="default" w:ascii="Times New Roman Regular" w:hAnsi="Times New Roman Regular" w:eastAsia="Times New Roman Regular" w:cs="Times New Roman Regular"/>
                <w:i w:val="0"/>
                <w:iCs w:val="0"/>
                <w:color w:val="000000"/>
                <w:kern w:val="0"/>
                <w:sz w:val="22"/>
                <w:szCs w:val="22"/>
                <w:u w:val="none"/>
                <w:bdr w:val="none" w:color="auto" w:sz="0" w:space="0"/>
                <w:lang w:val="en-US" w:eastAsia="zh-CN" w:bidi="ar"/>
              </w:rPr>
              <w:t xml:space="preserve"> </w:t>
            </w:r>
            <w:r>
              <w:rPr>
                <w:rFonts w:hint="eastAsia" w:ascii="宋体" w:hAnsi="宋体" w:eastAsia="宋体" w:cs="宋体"/>
                <w:i w:val="0"/>
                <w:iCs w:val="0"/>
                <w:color w:val="000000"/>
                <w:kern w:val="0"/>
                <w:sz w:val="22"/>
                <w:szCs w:val="22"/>
                <w:u w:val="none"/>
                <w:bdr w:val="none" w:color="auto" w:sz="0" w:space="0"/>
                <w:lang w:val="en-US" w:eastAsia="zh-CN" w:bidi="ar"/>
              </w:rPr>
              <w:t>国家卫生健康委关于做好国家组织药品集中采购和使用试点扩大区域范围工作的通知》</w:t>
            </w:r>
          </w:p>
        </w:tc>
        <w:tc>
          <w:tcPr>
            <w:tcW w:w="4989" w:type="dxa"/>
            <w:tcBorders>
              <w:top w:val="single" w:color="000000" w:sz="4" w:space="0"/>
              <w:left w:val="single" w:color="000000" w:sz="4" w:space="0"/>
              <w:bottom w:val="single" w:color="000000" w:sz="4" w:space="0"/>
              <w:right w:val="single" w:color="000000" w:sz="4" w:space="0"/>
            </w:tcBorders>
            <w:shd w:val="clear"/>
            <w:vAlign w:val="center"/>
          </w:tcPr>
          <w:p w14:paraId="5493969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国家组织药品集中采购，降低药品价格，减轻患者负担</w:t>
            </w:r>
          </w:p>
        </w:tc>
      </w:tr>
      <w:tr w14:paraId="2A794AA8">
        <w:trPr>
          <w:trHeight w:val="1680" w:hRule="atLeast"/>
        </w:trPr>
        <w:tc>
          <w:tcPr>
            <w:tcW w:w="774" w:type="dxa"/>
            <w:tcBorders>
              <w:top w:val="single" w:color="000000" w:sz="4" w:space="0"/>
              <w:left w:val="single" w:color="000000" w:sz="4" w:space="0"/>
              <w:bottom w:val="single" w:color="000000" w:sz="4" w:space="0"/>
              <w:right w:val="single" w:color="000000" w:sz="4" w:space="0"/>
            </w:tcBorders>
            <w:shd w:val="clear"/>
            <w:vAlign w:val="center"/>
          </w:tcPr>
          <w:p w14:paraId="6BBF3351">
            <w:pPr>
              <w:keepNext w:val="0"/>
              <w:keepLines w:val="0"/>
              <w:widowControl/>
              <w:suppressLineNumbers w:val="0"/>
              <w:jc w:val="center"/>
              <w:textAlignment w:val="center"/>
              <w:rPr>
                <w:rFonts w:hint="default" w:ascii="Times New Roman Regular" w:hAnsi="Times New Roman Regular" w:eastAsia="Times New Roman Regular" w:cs="Times New Roman Regular"/>
                <w:b/>
                <w:bCs/>
                <w:i w:val="0"/>
                <w:iCs w:val="0"/>
                <w:color w:val="000000"/>
                <w:sz w:val="22"/>
                <w:szCs w:val="22"/>
                <w:u w:val="none"/>
              </w:rPr>
            </w:pPr>
            <w:r>
              <w:rPr>
                <w:rFonts w:hint="default" w:ascii="Times New Roman Regular" w:hAnsi="Times New Roman Regular" w:eastAsia="Times New Roman Regular" w:cs="Times New Roman Regular"/>
                <w:b/>
                <w:bCs/>
                <w:i w:val="0"/>
                <w:iCs w:val="0"/>
                <w:color w:val="000000"/>
                <w:kern w:val="0"/>
                <w:sz w:val="22"/>
                <w:szCs w:val="22"/>
                <w:u w:val="none"/>
                <w:bdr w:val="none" w:color="auto" w:sz="0" w:space="0"/>
                <w:lang w:val="en-US" w:eastAsia="zh-CN" w:bidi="ar"/>
              </w:rPr>
              <w:t>2019</w:t>
            </w:r>
          </w:p>
        </w:tc>
        <w:tc>
          <w:tcPr>
            <w:tcW w:w="2596" w:type="dxa"/>
            <w:tcBorders>
              <w:top w:val="single" w:color="000000" w:sz="4" w:space="0"/>
              <w:left w:val="single" w:color="000000" w:sz="4" w:space="0"/>
              <w:bottom w:val="single" w:color="000000" w:sz="4" w:space="0"/>
              <w:right w:val="single" w:color="000000" w:sz="4" w:space="0"/>
            </w:tcBorders>
            <w:shd w:val="clear"/>
            <w:vAlign w:val="center"/>
          </w:tcPr>
          <w:p w14:paraId="3B2A7CA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《国家基本药物目录（</w:t>
            </w:r>
            <w:r>
              <w:rPr>
                <w:rFonts w:hint="default" w:ascii="Times New Roman Regular" w:hAnsi="Times New Roman Regular" w:eastAsia="Times New Roman Regular" w:cs="Times New Roman Regular"/>
                <w:i w:val="0"/>
                <w:iCs w:val="0"/>
                <w:color w:val="000000"/>
                <w:kern w:val="0"/>
                <w:sz w:val="22"/>
                <w:szCs w:val="22"/>
                <w:u w:val="none"/>
                <w:bdr w:val="none" w:color="auto" w:sz="0" w:space="0"/>
                <w:lang w:val="en-US" w:eastAsia="zh-CN" w:bidi="ar"/>
              </w:rPr>
              <w:t>2019</w:t>
            </w:r>
            <w:r>
              <w:rPr>
                <w:rFonts w:hint="eastAsia" w:ascii="宋体" w:hAnsi="宋体" w:eastAsia="宋体" w:cs="宋体"/>
                <w:i w:val="0"/>
                <w:iCs w:val="0"/>
                <w:color w:val="000000"/>
                <w:kern w:val="0"/>
                <w:sz w:val="22"/>
                <w:szCs w:val="22"/>
                <w:u w:val="none"/>
                <w:bdr w:val="none" w:color="auto" w:sz="0" w:space="0"/>
                <w:lang w:val="en-US" w:eastAsia="zh-CN" w:bidi="ar"/>
              </w:rPr>
              <w:t>年版）》</w:t>
            </w:r>
          </w:p>
        </w:tc>
        <w:tc>
          <w:tcPr>
            <w:tcW w:w="4989" w:type="dxa"/>
            <w:tcBorders>
              <w:top w:val="single" w:color="000000" w:sz="4" w:space="0"/>
              <w:left w:val="single" w:color="000000" w:sz="4" w:space="0"/>
              <w:bottom w:val="single" w:color="000000" w:sz="4" w:space="0"/>
              <w:right w:val="single" w:color="000000" w:sz="4" w:space="0"/>
            </w:tcBorders>
            <w:shd w:val="clear"/>
            <w:vAlign w:val="center"/>
          </w:tcPr>
          <w:p w14:paraId="7764C3A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新增</w:t>
            </w:r>
            <w:r>
              <w:rPr>
                <w:rFonts w:hint="default" w:ascii="Times New Roman Regular" w:hAnsi="Times New Roman Regular" w:eastAsia="Times New Roman Regular" w:cs="Times New Roman Regular"/>
                <w:i w:val="0"/>
                <w:iCs w:val="0"/>
                <w:color w:val="000000"/>
                <w:kern w:val="0"/>
                <w:sz w:val="22"/>
                <w:szCs w:val="22"/>
                <w:u w:val="none"/>
                <w:bdr w:val="none" w:color="auto" w:sz="0" w:space="0"/>
                <w:lang w:val="en-US" w:eastAsia="zh-CN" w:bidi="ar"/>
              </w:rPr>
              <w:t>148</w:t>
            </w:r>
            <w:r>
              <w:rPr>
                <w:rFonts w:hint="eastAsia" w:ascii="宋体" w:hAnsi="宋体" w:eastAsia="宋体" w:cs="宋体"/>
                <w:i w:val="0"/>
                <w:iCs w:val="0"/>
                <w:color w:val="000000"/>
                <w:kern w:val="0"/>
                <w:sz w:val="22"/>
                <w:szCs w:val="22"/>
                <w:u w:val="none"/>
                <w:bdr w:val="none" w:color="auto" w:sz="0" w:space="0"/>
                <w:lang w:val="en-US" w:eastAsia="zh-CN" w:bidi="ar"/>
              </w:rPr>
              <w:t>个品种，其中通过常规准入新增重大疾病治疗用药</w:t>
            </w:r>
            <w:r>
              <w:rPr>
                <w:rFonts w:hint="default" w:ascii="Times New Roman Regular" w:hAnsi="Times New Roman Regular" w:eastAsia="Times New Roman Regular" w:cs="Times New Roman Regular"/>
                <w:i w:val="0"/>
                <w:iCs w:val="0"/>
                <w:color w:val="000000"/>
                <w:kern w:val="0"/>
                <w:sz w:val="22"/>
                <w:szCs w:val="22"/>
                <w:u w:val="none"/>
                <w:bdr w:val="none" w:color="auto" w:sz="0" w:space="0"/>
                <w:lang w:val="en-US" w:eastAsia="zh-CN" w:bidi="ar"/>
              </w:rPr>
              <w:t>5</w:t>
            </w:r>
            <w:r>
              <w:rPr>
                <w:rFonts w:hint="eastAsia" w:ascii="宋体" w:hAnsi="宋体" w:eastAsia="宋体" w:cs="宋体"/>
                <w:i w:val="0"/>
                <w:iCs w:val="0"/>
                <w:color w:val="000000"/>
                <w:kern w:val="0"/>
                <w:sz w:val="22"/>
                <w:szCs w:val="22"/>
                <w:u w:val="none"/>
                <w:bdr w:val="none" w:color="auto" w:sz="0" w:space="0"/>
                <w:lang w:val="en-US" w:eastAsia="zh-CN" w:bidi="ar"/>
              </w:rPr>
              <w:t>个、慢性病用药</w:t>
            </w:r>
            <w:r>
              <w:rPr>
                <w:rFonts w:hint="default" w:ascii="Times New Roman Regular" w:hAnsi="Times New Roman Regular" w:eastAsia="Times New Roman Regular" w:cs="Times New Roman Regular"/>
                <w:i w:val="0"/>
                <w:iCs w:val="0"/>
                <w:color w:val="000000"/>
                <w:kern w:val="0"/>
                <w:sz w:val="22"/>
                <w:szCs w:val="22"/>
                <w:u w:val="none"/>
                <w:bdr w:val="none" w:color="auto" w:sz="0" w:space="0"/>
                <w:lang w:val="en-US" w:eastAsia="zh-CN" w:bidi="ar"/>
              </w:rPr>
              <w:t>36</w:t>
            </w:r>
            <w:r>
              <w:rPr>
                <w:rFonts w:hint="eastAsia" w:ascii="宋体" w:hAnsi="宋体" w:eastAsia="宋体" w:cs="宋体"/>
                <w:i w:val="0"/>
                <w:iCs w:val="0"/>
                <w:color w:val="000000"/>
                <w:kern w:val="0"/>
                <w:sz w:val="22"/>
                <w:szCs w:val="22"/>
                <w:u w:val="none"/>
                <w:bdr w:val="none" w:color="auto" w:sz="0" w:space="0"/>
                <w:lang w:val="en-US" w:eastAsia="zh-CN" w:bidi="ar"/>
              </w:rPr>
              <w:t>个儿童用药</w:t>
            </w:r>
            <w:r>
              <w:rPr>
                <w:rFonts w:hint="default" w:ascii="Times New Roman Regular" w:hAnsi="Times New Roman Regular" w:eastAsia="Times New Roman Regular" w:cs="Times New Roman Regular"/>
                <w:i w:val="0"/>
                <w:iCs w:val="0"/>
                <w:color w:val="000000"/>
                <w:kern w:val="0"/>
                <w:sz w:val="22"/>
                <w:szCs w:val="22"/>
                <w:u w:val="none"/>
                <w:bdr w:val="none" w:color="auto" w:sz="0" w:space="0"/>
                <w:lang w:val="en-US" w:eastAsia="zh-CN" w:bidi="ar"/>
              </w:rPr>
              <w:t>38</w:t>
            </w:r>
            <w:r>
              <w:rPr>
                <w:rFonts w:hint="eastAsia" w:ascii="宋体" w:hAnsi="宋体" w:eastAsia="宋体" w:cs="宋体"/>
                <w:i w:val="0"/>
                <w:iCs w:val="0"/>
                <w:color w:val="000000"/>
                <w:kern w:val="0"/>
                <w:sz w:val="22"/>
                <w:szCs w:val="22"/>
                <w:u w:val="none"/>
                <w:bdr w:val="none" w:color="auto" w:sz="0" w:space="0"/>
                <w:lang w:val="en-US" w:eastAsia="zh-CN" w:bidi="ar"/>
              </w:rPr>
              <w:t>个，绝大部分国家基本药物通过常规准入或被纳入拟谈判药品名单，</w:t>
            </w:r>
            <w:r>
              <w:rPr>
                <w:rFonts w:hint="default" w:ascii="Times New Roman Regular" w:hAnsi="Times New Roman Regular" w:eastAsia="Times New Roman Regular" w:cs="Times New Roman Regular"/>
                <w:i w:val="0"/>
                <w:iCs w:val="0"/>
                <w:color w:val="000000"/>
                <w:kern w:val="0"/>
                <w:sz w:val="22"/>
                <w:szCs w:val="22"/>
                <w:u w:val="none"/>
                <w:bdr w:val="none" w:color="auto" w:sz="0" w:space="0"/>
                <w:lang w:val="en-US" w:eastAsia="zh-CN" w:bidi="ar"/>
              </w:rPr>
              <w:t>74</w:t>
            </w:r>
            <w:r>
              <w:rPr>
                <w:rFonts w:hint="eastAsia" w:ascii="宋体" w:hAnsi="宋体" w:eastAsia="宋体" w:cs="宋体"/>
                <w:i w:val="0"/>
                <w:iCs w:val="0"/>
                <w:color w:val="000000"/>
                <w:kern w:val="0"/>
                <w:sz w:val="22"/>
                <w:szCs w:val="22"/>
                <w:u w:val="none"/>
                <w:bdr w:val="none" w:color="auto" w:sz="0" w:space="0"/>
                <w:lang w:val="en-US" w:eastAsia="zh-CN" w:bidi="ar"/>
              </w:rPr>
              <w:t>个基本药物由乙类调整为甲类</w:t>
            </w:r>
          </w:p>
        </w:tc>
      </w:tr>
      <w:tr w14:paraId="7FBA5FA9">
        <w:trPr>
          <w:trHeight w:val="1020" w:hRule="atLeast"/>
        </w:trPr>
        <w:tc>
          <w:tcPr>
            <w:tcW w:w="774" w:type="dxa"/>
            <w:tcBorders>
              <w:top w:val="single" w:color="000000" w:sz="4" w:space="0"/>
              <w:left w:val="single" w:color="000000" w:sz="4" w:space="0"/>
              <w:bottom w:val="single" w:color="000000" w:sz="4" w:space="0"/>
              <w:right w:val="single" w:color="000000" w:sz="4" w:space="0"/>
            </w:tcBorders>
            <w:shd w:val="clear"/>
            <w:vAlign w:val="center"/>
          </w:tcPr>
          <w:p w14:paraId="44145099">
            <w:pPr>
              <w:keepNext w:val="0"/>
              <w:keepLines w:val="0"/>
              <w:widowControl/>
              <w:suppressLineNumbers w:val="0"/>
              <w:jc w:val="center"/>
              <w:textAlignment w:val="center"/>
              <w:rPr>
                <w:rFonts w:hint="default" w:ascii="Times New Roman Regular" w:hAnsi="Times New Roman Regular" w:eastAsia="Times New Roman Regular" w:cs="Times New Roman Regular"/>
                <w:b/>
                <w:bCs/>
                <w:i w:val="0"/>
                <w:iCs w:val="0"/>
                <w:color w:val="000000"/>
                <w:sz w:val="22"/>
                <w:szCs w:val="22"/>
                <w:u w:val="none"/>
              </w:rPr>
            </w:pPr>
            <w:r>
              <w:rPr>
                <w:rFonts w:hint="default" w:ascii="Times New Roman Regular" w:hAnsi="Times New Roman Regular" w:eastAsia="Times New Roman Regular" w:cs="Times New Roman Regular"/>
                <w:b/>
                <w:bCs/>
                <w:i w:val="0"/>
                <w:iCs w:val="0"/>
                <w:color w:val="000000"/>
                <w:kern w:val="0"/>
                <w:sz w:val="22"/>
                <w:szCs w:val="22"/>
                <w:u w:val="none"/>
                <w:bdr w:val="none" w:color="auto" w:sz="0" w:space="0"/>
                <w:lang w:val="en-US" w:eastAsia="zh-CN" w:bidi="ar"/>
              </w:rPr>
              <w:t>2019</w:t>
            </w:r>
          </w:p>
        </w:tc>
        <w:tc>
          <w:tcPr>
            <w:tcW w:w="2596" w:type="dxa"/>
            <w:tcBorders>
              <w:top w:val="single" w:color="000000" w:sz="4" w:space="0"/>
              <w:left w:val="single" w:color="000000" w:sz="4" w:space="0"/>
              <w:bottom w:val="single" w:color="000000" w:sz="4" w:space="0"/>
              <w:right w:val="single" w:color="000000" w:sz="4" w:space="0"/>
            </w:tcBorders>
            <w:shd w:val="clear"/>
            <w:vAlign w:val="center"/>
          </w:tcPr>
          <w:p w14:paraId="0F253F8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河北《关于支持生物医药产业高质量发展的若干政策》</w:t>
            </w:r>
          </w:p>
        </w:tc>
        <w:tc>
          <w:tcPr>
            <w:tcW w:w="4989" w:type="dxa"/>
            <w:tcBorders>
              <w:top w:val="single" w:color="000000" w:sz="4" w:space="0"/>
              <w:left w:val="single" w:color="000000" w:sz="4" w:space="0"/>
              <w:bottom w:val="single" w:color="000000" w:sz="4" w:space="0"/>
              <w:right w:val="single" w:color="000000" w:sz="4" w:space="0"/>
            </w:tcBorders>
            <w:shd w:val="clear"/>
            <w:vAlign w:val="center"/>
          </w:tcPr>
          <w:p w14:paraId="64B68C1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高层次人才创新创业；构建生物医药产业创业投资体系；培育生物医药与生命健康一流学科；进口绿色通道</w:t>
            </w:r>
          </w:p>
        </w:tc>
      </w:tr>
      <w:tr w14:paraId="576F1E94">
        <w:trPr>
          <w:trHeight w:val="1800" w:hRule="atLeast"/>
        </w:trPr>
        <w:tc>
          <w:tcPr>
            <w:tcW w:w="774" w:type="dxa"/>
            <w:tcBorders>
              <w:top w:val="single" w:color="000000" w:sz="4" w:space="0"/>
              <w:left w:val="single" w:color="000000" w:sz="4" w:space="0"/>
              <w:bottom w:val="single" w:color="000000" w:sz="4" w:space="0"/>
              <w:right w:val="single" w:color="000000" w:sz="4" w:space="0"/>
            </w:tcBorders>
            <w:shd w:val="clear"/>
            <w:vAlign w:val="center"/>
          </w:tcPr>
          <w:p w14:paraId="38895F26">
            <w:pPr>
              <w:keepNext w:val="0"/>
              <w:keepLines w:val="0"/>
              <w:widowControl/>
              <w:suppressLineNumbers w:val="0"/>
              <w:jc w:val="center"/>
              <w:textAlignment w:val="center"/>
              <w:rPr>
                <w:rFonts w:hint="default" w:ascii="Times New Roman Regular" w:hAnsi="Times New Roman Regular" w:eastAsia="Times New Roman Regular" w:cs="Times New Roman Regular"/>
                <w:b/>
                <w:bCs/>
                <w:i w:val="0"/>
                <w:iCs w:val="0"/>
                <w:color w:val="000000"/>
                <w:sz w:val="22"/>
                <w:szCs w:val="22"/>
                <w:u w:val="none"/>
              </w:rPr>
            </w:pPr>
            <w:r>
              <w:rPr>
                <w:rFonts w:hint="default" w:ascii="Times New Roman Regular" w:hAnsi="Times New Roman Regular" w:eastAsia="Times New Roman Regular" w:cs="Times New Roman Regular"/>
                <w:b/>
                <w:bCs/>
                <w:i w:val="0"/>
                <w:iCs w:val="0"/>
                <w:color w:val="000000"/>
                <w:kern w:val="0"/>
                <w:sz w:val="22"/>
                <w:szCs w:val="22"/>
                <w:u w:val="none"/>
                <w:bdr w:val="none" w:color="auto" w:sz="0" w:space="0"/>
                <w:lang w:val="en-US" w:eastAsia="zh-CN" w:bidi="ar"/>
              </w:rPr>
              <w:t>2020</w:t>
            </w:r>
          </w:p>
        </w:tc>
        <w:tc>
          <w:tcPr>
            <w:tcW w:w="2596" w:type="dxa"/>
            <w:tcBorders>
              <w:top w:val="single" w:color="000000" w:sz="4" w:space="0"/>
              <w:left w:val="single" w:color="000000" w:sz="4" w:space="0"/>
              <w:bottom w:val="single" w:color="000000" w:sz="4" w:space="0"/>
              <w:right w:val="single" w:color="000000" w:sz="4" w:space="0"/>
            </w:tcBorders>
            <w:shd w:val="clear"/>
            <w:vAlign w:val="center"/>
          </w:tcPr>
          <w:p w14:paraId="580350A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《关于加强药品监管能力建设的实施意见》</w:t>
            </w:r>
          </w:p>
        </w:tc>
        <w:tc>
          <w:tcPr>
            <w:tcW w:w="4989" w:type="dxa"/>
            <w:tcBorders>
              <w:top w:val="single" w:color="000000" w:sz="4" w:space="0"/>
              <w:left w:val="single" w:color="000000" w:sz="4" w:space="0"/>
              <w:bottom w:val="single" w:color="000000" w:sz="4" w:space="0"/>
              <w:right w:val="single" w:color="000000" w:sz="4" w:space="0"/>
            </w:tcBorders>
            <w:shd w:val="clear"/>
            <w:vAlign w:val="center"/>
          </w:tcPr>
          <w:p w14:paraId="7C95F20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加强药品监管能力建设，保障药品安全有效</w:t>
            </w:r>
          </w:p>
        </w:tc>
      </w:tr>
      <w:tr w14:paraId="34356432">
        <w:trPr>
          <w:trHeight w:val="680" w:hRule="atLeast"/>
        </w:trPr>
        <w:tc>
          <w:tcPr>
            <w:tcW w:w="774" w:type="dxa"/>
            <w:tcBorders>
              <w:top w:val="single" w:color="000000" w:sz="4" w:space="0"/>
              <w:left w:val="single" w:color="000000" w:sz="4" w:space="0"/>
              <w:bottom w:val="single" w:color="000000" w:sz="4" w:space="0"/>
              <w:right w:val="single" w:color="000000" w:sz="4" w:space="0"/>
            </w:tcBorders>
            <w:shd w:val="clear"/>
            <w:vAlign w:val="center"/>
          </w:tcPr>
          <w:p w14:paraId="70FA8370">
            <w:pPr>
              <w:keepNext w:val="0"/>
              <w:keepLines w:val="0"/>
              <w:widowControl/>
              <w:suppressLineNumbers w:val="0"/>
              <w:jc w:val="center"/>
              <w:textAlignment w:val="center"/>
              <w:rPr>
                <w:rFonts w:hint="default" w:ascii="Times New Roman Regular" w:hAnsi="Times New Roman Regular" w:eastAsia="Times New Roman Regular" w:cs="Times New Roman Regular"/>
                <w:b/>
                <w:bCs/>
                <w:i w:val="0"/>
                <w:iCs w:val="0"/>
                <w:color w:val="000000"/>
                <w:sz w:val="22"/>
                <w:szCs w:val="22"/>
                <w:u w:val="none"/>
              </w:rPr>
            </w:pPr>
            <w:r>
              <w:rPr>
                <w:rFonts w:hint="default" w:ascii="Times New Roman Regular" w:hAnsi="Times New Roman Regular" w:eastAsia="Times New Roman Regular" w:cs="Times New Roman Regular"/>
                <w:b/>
                <w:bCs/>
                <w:i w:val="0"/>
                <w:iCs w:val="0"/>
                <w:color w:val="000000"/>
                <w:kern w:val="0"/>
                <w:sz w:val="22"/>
                <w:szCs w:val="22"/>
                <w:u w:val="none"/>
                <w:bdr w:val="none" w:color="auto" w:sz="0" w:space="0"/>
                <w:lang w:val="en-US" w:eastAsia="zh-CN" w:bidi="ar"/>
              </w:rPr>
              <w:t>2020</w:t>
            </w:r>
          </w:p>
        </w:tc>
        <w:tc>
          <w:tcPr>
            <w:tcW w:w="2596" w:type="dxa"/>
            <w:tcBorders>
              <w:top w:val="single" w:color="000000" w:sz="4" w:space="0"/>
              <w:left w:val="single" w:color="000000" w:sz="4" w:space="0"/>
              <w:bottom w:val="single" w:color="000000" w:sz="4" w:space="0"/>
              <w:right w:val="single" w:color="000000" w:sz="4" w:space="0"/>
            </w:tcBorders>
            <w:shd w:val="clear"/>
            <w:vAlign w:val="center"/>
          </w:tcPr>
          <w:p w14:paraId="41DE45F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《关于推进药品医疗器械产业高质量发展的实施意见》</w:t>
            </w:r>
          </w:p>
        </w:tc>
        <w:tc>
          <w:tcPr>
            <w:tcW w:w="4989" w:type="dxa"/>
            <w:tcBorders>
              <w:top w:val="single" w:color="000000" w:sz="4" w:space="0"/>
              <w:left w:val="single" w:color="000000" w:sz="4" w:space="0"/>
              <w:bottom w:val="single" w:color="000000" w:sz="4" w:space="0"/>
              <w:right w:val="single" w:color="000000" w:sz="4" w:space="0"/>
            </w:tcBorders>
            <w:shd w:val="clear"/>
            <w:vAlign w:val="center"/>
          </w:tcPr>
          <w:p w14:paraId="3E19DA1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推动药品医疗器械产业高质量发展，提升产业竞争力。</w:t>
            </w:r>
          </w:p>
        </w:tc>
      </w:tr>
      <w:tr w14:paraId="045313E0">
        <w:trPr>
          <w:trHeight w:val="2020" w:hRule="atLeast"/>
        </w:trPr>
        <w:tc>
          <w:tcPr>
            <w:tcW w:w="774" w:type="dxa"/>
            <w:tcBorders>
              <w:top w:val="single" w:color="000000" w:sz="4" w:space="0"/>
              <w:left w:val="single" w:color="000000" w:sz="4" w:space="0"/>
              <w:bottom w:val="single" w:color="000000" w:sz="4" w:space="0"/>
              <w:right w:val="single" w:color="000000" w:sz="4" w:space="0"/>
            </w:tcBorders>
            <w:shd w:val="clear"/>
            <w:vAlign w:val="center"/>
          </w:tcPr>
          <w:p w14:paraId="691846CA">
            <w:pPr>
              <w:keepNext w:val="0"/>
              <w:keepLines w:val="0"/>
              <w:widowControl/>
              <w:suppressLineNumbers w:val="0"/>
              <w:jc w:val="center"/>
              <w:textAlignment w:val="center"/>
              <w:rPr>
                <w:rFonts w:hint="default" w:ascii="Times New Roman Regular" w:hAnsi="Times New Roman Regular" w:eastAsia="Times New Roman Regular" w:cs="Times New Roman Regular"/>
                <w:b/>
                <w:bCs/>
                <w:i w:val="0"/>
                <w:iCs w:val="0"/>
                <w:color w:val="000000"/>
                <w:sz w:val="22"/>
                <w:szCs w:val="22"/>
                <w:u w:val="none"/>
              </w:rPr>
            </w:pPr>
            <w:r>
              <w:rPr>
                <w:rFonts w:hint="default" w:ascii="Times New Roman Regular" w:hAnsi="Times New Roman Regular" w:eastAsia="Times New Roman Regular" w:cs="Times New Roman Regular"/>
                <w:b/>
                <w:bCs/>
                <w:i w:val="0"/>
                <w:iCs w:val="0"/>
                <w:color w:val="000000"/>
                <w:kern w:val="0"/>
                <w:sz w:val="22"/>
                <w:szCs w:val="22"/>
                <w:u w:val="none"/>
                <w:bdr w:val="none" w:color="auto" w:sz="0" w:space="0"/>
                <w:lang w:val="en-US" w:eastAsia="zh-CN" w:bidi="ar"/>
              </w:rPr>
              <w:t>2020</w:t>
            </w:r>
          </w:p>
        </w:tc>
        <w:tc>
          <w:tcPr>
            <w:tcW w:w="2596" w:type="dxa"/>
            <w:tcBorders>
              <w:top w:val="single" w:color="000000" w:sz="4" w:space="0"/>
              <w:left w:val="single" w:color="000000" w:sz="4" w:space="0"/>
              <w:bottom w:val="single" w:color="000000" w:sz="4" w:space="0"/>
              <w:right w:val="single" w:color="000000" w:sz="4" w:space="0"/>
            </w:tcBorders>
            <w:shd w:val="clear"/>
            <w:vAlign w:val="center"/>
          </w:tcPr>
          <w:p w14:paraId="2015403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《关于深化医疗保障制度改革的意见》</w:t>
            </w:r>
          </w:p>
        </w:tc>
        <w:tc>
          <w:tcPr>
            <w:tcW w:w="4989" w:type="dxa"/>
            <w:tcBorders>
              <w:top w:val="single" w:color="000000" w:sz="4" w:space="0"/>
              <w:left w:val="single" w:color="000000" w:sz="4" w:space="0"/>
              <w:bottom w:val="single" w:color="000000" w:sz="4" w:space="0"/>
              <w:right w:val="single" w:color="000000" w:sz="4" w:space="0"/>
            </w:tcBorders>
            <w:shd w:val="clear"/>
            <w:vAlign w:val="center"/>
          </w:tcPr>
          <w:p w14:paraId="47DD093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关于医保支付方式改革，此次《意见》也给出具体方向，完善医保基金总额预算办法，推行以按病种付费为主的多元复合式医保支付方式。推广</w:t>
            </w:r>
            <w:r>
              <w:rPr>
                <w:rFonts w:hint="default" w:ascii="Times New Roman Regular" w:hAnsi="Times New Roman Regular" w:eastAsia="Times New Roman Regular" w:cs="Times New Roman Regular"/>
                <w:i w:val="0"/>
                <w:iCs w:val="0"/>
                <w:color w:val="000000"/>
                <w:kern w:val="0"/>
                <w:sz w:val="22"/>
                <w:szCs w:val="22"/>
                <w:u w:val="none"/>
                <w:bdr w:val="none" w:color="auto" w:sz="0" w:space="0"/>
                <w:lang w:val="en-US" w:eastAsia="zh-CN" w:bidi="ar"/>
              </w:rPr>
              <w:t>DRG</w:t>
            </w:r>
            <w:r>
              <w:rPr>
                <w:rFonts w:hint="eastAsia" w:ascii="宋体" w:hAnsi="宋体" w:eastAsia="宋体" w:cs="宋体"/>
                <w:i w:val="0"/>
                <w:iCs w:val="0"/>
                <w:color w:val="000000"/>
                <w:kern w:val="0"/>
                <w:sz w:val="22"/>
                <w:szCs w:val="22"/>
                <w:u w:val="none"/>
                <w:bdr w:val="none" w:color="auto" w:sz="0" w:space="0"/>
                <w:lang w:val="en-US" w:eastAsia="zh-CN" w:bidi="ar"/>
              </w:rPr>
              <w:t>，医疗康复、慢性精神疾病等长期住院按床日付费，门诊特殊慢性病按人头付费。</w:t>
            </w:r>
          </w:p>
        </w:tc>
      </w:tr>
      <w:tr w14:paraId="32DF1518">
        <w:trPr>
          <w:trHeight w:val="680" w:hRule="atLeast"/>
        </w:trPr>
        <w:tc>
          <w:tcPr>
            <w:tcW w:w="774" w:type="dxa"/>
            <w:tcBorders>
              <w:top w:val="single" w:color="000000" w:sz="4" w:space="0"/>
              <w:left w:val="single" w:color="000000" w:sz="4" w:space="0"/>
              <w:bottom w:val="single" w:color="000000" w:sz="4" w:space="0"/>
              <w:right w:val="single" w:color="000000" w:sz="4" w:space="0"/>
            </w:tcBorders>
            <w:shd w:val="clear"/>
            <w:vAlign w:val="center"/>
          </w:tcPr>
          <w:p w14:paraId="35727F21">
            <w:pPr>
              <w:keepNext w:val="0"/>
              <w:keepLines w:val="0"/>
              <w:widowControl/>
              <w:suppressLineNumbers w:val="0"/>
              <w:jc w:val="center"/>
              <w:textAlignment w:val="center"/>
              <w:rPr>
                <w:rFonts w:hint="default" w:ascii="Times New Roman Regular" w:hAnsi="Times New Roman Regular" w:eastAsia="Times New Roman Regular" w:cs="Times New Roman Regular"/>
                <w:b/>
                <w:bCs/>
                <w:i w:val="0"/>
                <w:iCs w:val="0"/>
                <w:color w:val="000000"/>
                <w:sz w:val="22"/>
                <w:szCs w:val="22"/>
                <w:u w:val="none"/>
              </w:rPr>
            </w:pPr>
            <w:r>
              <w:rPr>
                <w:rFonts w:hint="default" w:ascii="Times New Roman Regular" w:hAnsi="Times New Roman Regular" w:eastAsia="Times New Roman Regular" w:cs="Times New Roman Regular"/>
                <w:b/>
                <w:bCs/>
                <w:i w:val="0"/>
                <w:iCs w:val="0"/>
                <w:color w:val="000000"/>
                <w:kern w:val="0"/>
                <w:sz w:val="22"/>
                <w:szCs w:val="22"/>
                <w:u w:val="none"/>
                <w:bdr w:val="none" w:color="auto" w:sz="0" w:space="0"/>
                <w:lang w:val="en-US" w:eastAsia="zh-CN" w:bidi="ar"/>
              </w:rPr>
              <w:t>2020</w:t>
            </w:r>
          </w:p>
        </w:tc>
        <w:tc>
          <w:tcPr>
            <w:tcW w:w="2596" w:type="dxa"/>
            <w:tcBorders>
              <w:top w:val="single" w:color="000000" w:sz="4" w:space="0"/>
              <w:left w:val="single" w:color="000000" w:sz="4" w:space="0"/>
              <w:bottom w:val="single" w:color="000000" w:sz="4" w:space="0"/>
              <w:right w:val="single" w:color="000000" w:sz="4" w:space="0"/>
            </w:tcBorders>
            <w:shd w:val="clear"/>
            <w:vAlign w:val="center"/>
          </w:tcPr>
          <w:p w14:paraId="6E05E92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《国家基本药物目录（</w:t>
            </w:r>
            <w:r>
              <w:rPr>
                <w:rFonts w:hint="default" w:ascii="Times New Roman Regular" w:hAnsi="Times New Roman Regular" w:eastAsia="Times New Roman Regular" w:cs="Times New Roman Regular"/>
                <w:i w:val="0"/>
                <w:iCs w:val="0"/>
                <w:color w:val="000000"/>
                <w:kern w:val="0"/>
                <w:sz w:val="22"/>
                <w:szCs w:val="22"/>
                <w:u w:val="none"/>
                <w:bdr w:val="none" w:color="auto" w:sz="0" w:space="0"/>
                <w:lang w:val="en-US" w:eastAsia="zh-CN" w:bidi="ar"/>
              </w:rPr>
              <w:t>2020</w:t>
            </w:r>
            <w:r>
              <w:rPr>
                <w:rFonts w:hint="eastAsia" w:ascii="宋体" w:hAnsi="宋体" w:eastAsia="宋体" w:cs="宋体"/>
                <w:i w:val="0"/>
                <w:iCs w:val="0"/>
                <w:color w:val="000000"/>
                <w:kern w:val="0"/>
                <w:sz w:val="22"/>
                <w:szCs w:val="22"/>
                <w:u w:val="none"/>
                <w:bdr w:val="none" w:color="auto" w:sz="0" w:space="0"/>
                <w:lang w:val="en-US" w:eastAsia="zh-CN" w:bidi="ar"/>
              </w:rPr>
              <w:t>年版）》</w:t>
            </w:r>
          </w:p>
        </w:tc>
        <w:tc>
          <w:tcPr>
            <w:tcW w:w="4989" w:type="dxa"/>
            <w:tcBorders>
              <w:top w:val="single" w:color="000000" w:sz="4" w:space="0"/>
              <w:left w:val="single" w:color="000000" w:sz="4" w:space="0"/>
              <w:bottom w:val="single" w:color="000000" w:sz="4" w:space="0"/>
              <w:right w:val="single" w:color="000000" w:sz="4" w:space="0"/>
            </w:tcBorders>
            <w:shd w:val="clear"/>
            <w:vAlign w:val="center"/>
          </w:tcPr>
          <w:p w14:paraId="1B72719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共有</w:t>
            </w:r>
            <w:r>
              <w:rPr>
                <w:rFonts w:hint="default" w:ascii="Times New Roman Regular" w:hAnsi="Times New Roman Regular" w:eastAsia="Times New Roman Regular" w:cs="Times New Roman Regular"/>
                <w:i w:val="0"/>
                <w:iCs w:val="0"/>
                <w:color w:val="000000"/>
                <w:kern w:val="0"/>
                <w:sz w:val="22"/>
                <w:szCs w:val="22"/>
                <w:u w:val="none"/>
                <w:bdr w:val="none" w:color="auto" w:sz="0" w:space="0"/>
                <w:lang w:val="en-US" w:eastAsia="zh-CN" w:bidi="ar"/>
              </w:rPr>
              <w:t>119</w:t>
            </w:r>
            <w:r>
              <w:rPr>
                <w:rFonts w:hint="eastAsia" w:ascii="宋体" w:hAnsi="宋体" w:eastAsia="宋体" w:cs="宋体"/>
                <w:i w:val="0"/>
                <w:iCs w:val="0"/>
                <w:color w:val="000000"/>
                <w:kern w:val="0"/>
                <w:sz w:val="22"/>
                <w:szCs w:val="22"/>
                <w:u w:val="none"/>
                <w:bdr w:val="none" w:color="auto" w:sz="0" w:space="0"/>
                <w:lang w:val="en-US" w:eastAsia="zh-CN" w:bidi="ar"/>
              </w:rPr>
              <w:t>种药品新增进入目录。其中新增了</w:t>
            </w:r>
            <w:r>
              <w:rPr>
                <w:rFonts w:hint="default" w:ascii="Times New Roman Regular" w:hAnsi="Times New Roman Regular" w:eastAsia="Times New Roman Regular" w:cs="Times New Roman Regular"/>
                <w:i w:val="0"/>
                <w:iCs w:val="0"/>
                <w:color w:val="000000"/>
                <w:kern w:val="0"/>
                <w:sz w:val="22"/>
                <w:szCs w:val="22"/>
                <w:u w:val="none"/>
                <w:bdr w:val="none" w:color="auto" w:sz="0" w:space="0"/>
                <w:lang w:val="en-US" w:eastAsia="zh-CN" w:bidi="ar"/>
              </w:rPr>
              <w:t>17</w:t>
            </w:r>
            <w:r>
              <w:rPr>
                <w:rFonts w:hint="eastAsia" w:ascii="宋体" w:hAnsi="宋体" w:eastAsia="宋体" w:cs="宋体"/>
                <w:i w:val="0"/>
                <w:iCs w:val="0"/>
                <w:color w:val="000000"/>
                <w:kern w:val="0"/>
                <w:sz w:val="22"/>
                <w:szCs w:val="22"/>
                <w:u w:val="none"/>
                <w:bdr w:val="none" w:color="auto" w:sz="0" w:space="0"/>
                <w:lang w:val="en-US" w:eastAsia="zh-CN" w:bidi="ar"/>
              </w:rPr>
              <w:t>种抗癌药，以及部分新冠肺炎治疗药物</w:t>
            </w:r>
          </w:p>
        </w:tc>
      </w:tr>
      <w:tr w14:paraId="7059E542">
        <w:trPr>
          <w:trHeight w:val="336" w:hRule="atLeast"/>
        </w:trPr>
        <w:tc>
          <w:tcPr>
            <w:tcW w:w="774" w:type="dxa"/>
            <w:vMerge w:val="restart"/>
            <w:tcBorders>
              <w:top w:val="single" w:color="000000" w:sz="4" w:space="0"/>
              <w:left w:val="single" w:color="000000" w:sz="4" w:space="0"/>
              <w:bottom w:val="single" w:color="000000" w:sz="4" w:space="0"/>
              <w:right w:val="single" w:color="000000" w:sz="4" w:space="0"/>
            </w:tcBorders>
            <w:shd w:val="clear"/>
            <w:vAlign w:val="center"/>
          </w:tcPr>
          <w:p w14:paraId="33709BB4">
            <w:pPr>
              <w:keepNext w:val="0"/>
              <w:keepLines w:val="0"/>
              <w:widowControl/>
              <w:suppressLineNumbers w:val="0"/>
              <w:jc w:val="center"/>
              <w:textAlignment w:val="center"/>
              <w:rPr>
                <w:rFonts w:hint="default" w:ascii="Times New Roman Regular" w:hAnsi="Times New Roman Regular" w:eastAsia="Times New Roman Regular" w:cs="Times New Roman Regular"/>
                <w:b/>
                <w:bCs/>
                <w:i w:val="0"/>
                <w:iCs w:val="0"/>
                <w:color w:val="000000"/>
                <w:sz w:val="22"/>
                <w:szCs w:val="22"/>
                <w:u w:val="none"/>
              </w:rPr>
            </w:pPr>
            <w:r>
              <w:rPr>
                <w:rFonts w:hint="default" w:ascii="Times New Roman Regular" w:hAnsi="Times New Roman Regular" w:eastAsia="Times New Roman Regular" w:cs="Times New Roman Regular"/>
                <w:b/>
                <w:bCs/>
                <w:i w:val="0"/>
                <w:iCs w:val="0"/>
                <w:color w:val="000000"/>
                <w:kern w:val="0"/>
                <w:sz w:val="22"/>
                <w:szCs w:val="22"/>
                <w:u w:val="none"/>
                <w:bdr w:val="none" w:color="auto" w:sz="0" w:space="0"/>
                <w:lang w:val="en-US" w:eastAsia="zh-CN" w:bidi="ar"/>
              </w:rPr>
              <w:t>2020</w:t>
            </w:r>
          </w:p>
        </w:tc>
        <w:tc>
          <w:tcPr>
            <w:tcW w:w="2596" w:type="dxa"/>
            <w:vMerge w:val="restart"/>
            <w:tcBorders>
              <w:top w:val="single" w:color="000000" w:sz="4" w:space="0"/>
              <w:left w:val="single" w:color="000000" w:sz="4" w:space="0"/>
              <w:bottom w:val="single" w:color="000000" w:sz="4" w:space="0"/>
              <w:right w:val="single" w:color="000000" w:sz="4" w:space="0"/>
            </w:tcBorders>
            <w:shd w:val="clear"/>
            <w:vAlign w:val="center"/>
          </w:tcPr>
          <w:p w14:paraId="5C9093F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《药品 注册管理办法》</w:t>
            </w:r>
          </w:p>
        </w:tc>
        <w:tc>
          <w:tcPr>
            <w:tcW w:w="4989" w:type="dxa"/>
            <w:vMerge w:val="restart"/>
            <w:tcBorders>
              <w:top w:val="single" w:color="000000" w:sz="4" w:space="0"/>
              <w:left w:val="single" w:color="000000" w:sz="4" w:space="0"/>
              <w:bottom w:val="single" w:color="000000" w:sz="4" w:space="0"/>
              <w:right w:val="single" w:color="000000" w:sz="4" w:space="0"/>
            </w:tcBorders>
            <w:shd w:val="clear"/>
            <w:vAlign w:val="center"/>
          </w:tcPr>
          <w:p w14:paraId="54738C44">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将沟通制度纳入药品注册管理的基本制度缩短审批时间设立突破性治疗药物程序、附条件批准程序、优先审评审批程序和特别审批程序 4 个加快通道</w:t>
            </w:r>
          </w:p>
        </w:tc>
      </w:tr>
      <w:tr w14:paraId="684B2563">
        <w:trPr>
          <w:trHeight w:val="336" w:hRule="atLeast"/>
        </w:trPr>
        <w:tc>
          <w:tcPr>
            <w:tcW w:w="774" w:type="dxa"/>
            <w:vMerge w:val="continue"/>
            <w:tcBorders>
              <w:top w:val="single" w:color="000000" w:sz="4" w:space="0"/>
              <w:left w:val="single" w:color="000000" w:sz="4" w:space="0"/>
              <w:bottom w:val="single" w:color="000000" w:sz="4" w:space="0"/>
              <w:right w:val="single" w:color="000000" w:sz="4" w:space="0"/>
            </w:tcBorders>
            <w:shd w:val="clear"/>
            <w:vAlign w:val="center"/>
          </w:tcPr>
          <w:p w14:paraId="22B3DD98">
            <w:pPr>
              <w:jc w:val="center"/>
              <w:rPr>
                <w:rFonts w:hint="default" w:ascii="Times New Roman Regular" w:hAnsi="Times New Roman Regular" w:eastAsia="Times New Roman Regular" w:cs="Times New Roman Regular"/>
                <w:b/>
                <w:bCs/>
                <w:i w:val="0"/>
                <w:iCs w:val="0"/>
                <w:color w:val="000000"/>
                <w:sz w:val="22"/>
                <w:szCs w:val="22"/>
                <w:u w:val="none"/>
              </w:rPr>
            </w:pPr>
          </w:p>
        </w:tc>
        <w:tc>
          <w:tcPr>
            <w:tcW w:w="2596" w:type="dxa"/>
            <w:vMerge w:val="continue"/>
            <w:tcBorders>
              <w:top w:val="single" w:color="000000" w:sz="4" w:space="0"/>
              <w:left w:val="single" w:color="000000" w:sz="4" w:space="0"/>
              <w:bottom w:val="single" w:color="000000" w:sz="4" w:space="0"/>
              <w:right w:val="single" w:color="000000" w:sz="4" w:space="0"/>
            </w:tcBorders>
            <w:shd w:val="clear"/>
            <w:vAlign w:val="center"/>
          </w:tcPr>
          <w:p w14:paraId="501C354D">
            <w:pPr>
              <w:jc w:val="center"/>
              <w:rPr>
                <w:rFonts w:hint="eastAsia" w:ascii="宋体" w:hAnsi="宋体" w:eastAsia="宋体" w:cs="宋体"/>
                <w:i w:val="0"/>
                <w:iCs w:val="0"/>
                <w:color w:val="000000"/>
                <w:sz w:val="22"/>
                <w:szCs w:val="22"/>
                <w:u w:val="none"/>
              </w:rPr>
            </w:pPr>
          </w:p>
        </w:tc>
        <w:tc>
          <w:tcPr>
            <w:tcW w:w="4989" w:type="dxa"/>
            <w:vMerge w:val="continue"/>
            <w:tcBorders>
              <w:top w:val="single" w:color="000000" w:sz="4" w:space="0"/>
              <w:left w:val="single" w:color="000000" w:sz="4" w:space="0"/>
              <w:bottom w:val="single" w:color="000000" w:sz="4" w:space="0"/>
              <w:right w:val="single" w:color="000000" w:sz="4" w:space="0"/>
            </w:tcBorders>
            <w:shd w:val="clear"/>
            <w:vAlign w:val="center"/>
          </w:tcPr>
          <w:p w14:paraId="69C34114">
            <w:pPr>
              <w:jc w:val="left"/>
              <w:rPr>
                <w:rFonts w:hint="eastAsia" w:ascii="宋体" w:hAnsi="宋体" w:eastAsia="宋体" w:cs="宋体"/>
                <w:i w:val="0"/>
                <w:iCs w:val="0"/>
                <w:color w:val="000000"/>
                <w:sz w:val="22"/>
                <w:szCs w:val="22"/>
                <w:u w:val="none"/>
              </w:rPr>
            </w:pPr>
          </w:p>
        </w:tc>
      </w:tr>
      <w:tr w14:paraId="1E836366">
        <w:trPr>
          <w:trHeight w:val="340" w:hRule="atLeast"/>
        </w:trPr>
        <w:tc>
          <w:tcPr>
            <w:tcW w:w="774" w:type="dxa"/>
            <w:tcBorders>
              <w:top w:val="single" w:color="000000" w:sz="4" w:space="0"/>
              <w:left w:val="single" w:color="000000" w:sz="4" w:space="0"/>
              <w:bottom w:val="single" w:color="000000" w:sz="4" w:space="0"/>
              <w:right w:val="single" w:color="000000" w:sz="4" w:space="0"/>
            </w:tcBorders>
            <w:shd w:val="clear"/>
            <w:vAlign w:val="center"/>
          </w:tcPr>
          <w:p w14:paraId="31B06AB8">
            <w:pPr>
              <w:keepNext w:val="0"/>
              <w:keepLines w:val="0"/>
              <w:widowControl/>
              <w:suppressLineNumbers w:val="0"/>
              <w:jc w:val="center"/>
              <w:textAlignment w:val="center"/>
              <w:rPr>
                <w:rFonts w:hint="default" w:ascii="Times New Roman Regular" w:hAnsi="Times New Roman Regular" w:eastAsia="Times New Roman Regular" w:cs="Times New Roman Regular"/>
                <w:b/>
                <w:bCs/>
                <w:i w:val="0"/>
                <w:iCs w:val="0"/>
                <w:color w:val="000000"/>
                <w:sz w:val="22"/>
                <w:szCs w:val="22"/>
                <w:u w:val="none"/>
              </w:rPr>
            </w:pPr>
            <w:r>
              <w:rPr>
                <w:rFonts w:hint="default" w:ascii="Times New Roman Regular" w:hAnsi="Times New Roman Regular" w:eastAsia="Times New Roman Regular" w:cs="Times New Roman Regular"/>
                <w:b/>
                <w:bCs/>
                <w:i w:val="0"/>
                <w:iCs w:val="0"/>
                <w:color w:val="000000"/>
                <w:kern w:val="0"/>
                <w:sz w:val="22"/>
                <w:szCs w:val="22"/>
                <w:u w:val="none"/>
                <w:bdr w:val="none" w:color="auto" w:sz="0" w:space="0"/>
                <w:lang w:val="en-US" w:eastAsia="zh-CN" w:bidi="ar"/>
              </w:rPr>
              <w:t>2020</w:t>
            </w:r>
          </w:p>
        </w:tc>
        <w:tc>
          <w:tcPr>
            <w:tcW w:w="2596" w:type="dxa"/>
            <w:tcBorders>
              <w:top w:val="single" w:color="000000" w:sz="4" w:space="0"/>
              <w:left w:val="single" w:color="000000" w:sz="4" w:space="0"/>
              <w:bottom w:val="single" w:color="000000" w:sz="4" w:space="0"/>
              <w:right w:val="single" w:color="000000" w:sz="4" w:space="0"/>
            </w:tcBorders>
            <w:shd w:val="clear"/>
            <w:vAlign w:val="center"/>
          </w:tcPr>
          <w:p w14:paraId="3CC7C78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《突破性治疗药物审评工作程序(试行)》</w:t>
            </w:r>
          </w:p>
        </w:tc>
        <w:tc>
          <w:tcPr>
            <w:tcW w:w="4989" w:type="dxa"/>
            <w:tcBorders>
              <w:top w:val="single" w:color="000000" w:sz="4" w:space="0"/>
              <w:left w:val="single" w:color="000000" w:sz="4" w:space="0"/>
              <w:bottom w:val="single" w:color="000000" w:sz="4" w:space="0"/>
              <w:right w:val="single" w:color="000000" w:sz="4" w:space="0"/>
            </w:tcBorders>
            <w:shd w:val="clear"/>
            <w:vAlign w:val="center"/>
          </w:tcPr>
          <w:p w14:paraId="367BB2F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缩短注册时间</w:t>
            </w:r>
          </w:p>
        </w:tc>
      </w:tr>
      <w:tr w14:paraId="070927BD">
        <w:trPr>
          <w:trHeight w:val="2020" w:hRule="atLeast"/>
        </w:trPr>
        <w:tc>
          <w:tcPr>
            <w:tcW w:w="774" w:type="dxa"/>
            <w:tcBorders>
              <w:top w:val="single" w:color="000000" w:sz="4" w:space="0"/>
              <w:left w:val="single" w:color="000000" w:sz="4" w:space="0"/>
              <w:bottom w:val="single" w:color="000000" w:sz="4" w:space="0"/>
              <w:right w:val="single" w:color="000000" w:sz="4" w:space="0"/>
            </w:tcBorders>
            <w:shd w:val="clear"/>
            <w:vAlign w:val="center"/>
          </w:tcPr>
          <w:p w14:paraId="2B2CC471">
            <w:pPr>
              <w:keepNext w:val="0"/>
              <w:keepLines w:val="0"/>
              <w:widowControl/>
              <w:suppressLineNumbers w:val="0"/>
              <w:jc w:val="center"/>
              <w:textAlignment w:val="center"/>
              <w:rPr>
                <w:rFonts w:hint="default" w:ascii="Times New Roman Regular" w:hAnsi="Times New Roman Regular" w:eastAsia="Times New Roman Regular" w:cs="Times New Roman Regular"/>
                <w:b/>
                <w:bCs/>
                <w:i w:val="0"/>
                <w:iCs w:val="0"/>
                <w:color w:val="000000"/>
                <w:sz w:val="22"/>
                <w:szCs w:val="22"/>
                <w:u w:val="none"/>
              </w:rPr>
            </w:pPr>
            <w:r>
              <w:rPr>
                <w:rFonts w:hint="default" w:ascii="Times New Roman Regular" w:hAnsi="Times New Roman Regular" w:eastAsia="Times New Roman Regular" w:cs="Times New Roman Regular"/>
                <w:b/>
                <w:bCs/>
                <w:i w:val="0"/>
                <w:iCs w:val="0"/>
                <w:color w:val="000000"/>
                <w:kern w:val="0"/>
                <w:sz w:val="22"/>
                <w:szCs w:val="22"/>
                <w:u w:val="none"/>
                <w:bdr w:val="none" w:color="auto" w:sz="0" w:space="0"/>
                <w:lang w:val="en-US" w:eastAsia="zh-CN" w:bidi="ar"/>
              </w:rPr>
              <w:t>2020</w:t>
            </w:r>
          </w:p>
        </w:tc>
        <w:tc>
          <w:tcPr>
            <w:tcW w:w="2596" w:type="dxa"/>
            <w:tcBorders>
              <w:top w:val="single" w:color="000000" w:sz="4" w:space="0"/>
              <w:left w:val="single" w:color="000000" w:sz="4" w:space="0"/>
              <w:bottom w:val="single" w:color="000000" w:sz="4" w:space="0"/>
              <w:right w:val="single" w:color="000000" w:sz="4" w:space="0"/>
            </w:tcBorders>
            <w:shd w:val="clear"/>
            <w:vAlign w:val="center"/>
          </w:tcPr>
          <w:p w14:paraId="263570A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《中华人民共和国专利法》</w:t>
            </w:r>
          </w:p>
        </w:tc>
        <w:tc>
          <w:tcPr>
            <w:tcW w:w="4989" w:type="dxa"/>
            <w:tcBorders>
              <w:top w:val="single" w:color="000000" w:sz="4" w:space="0"/>
              <w:left w:val="single" w:color="000000" w:sz="4" w:space="0"/>
              <w:bottom w:val="single" w:color="000000" w:sz="4" w:space="0"/>
              <w:right w:val="single" w:color="000000" w:sz="4" w:space="0"/>
            </w:tcBorders>
            <w:shd w:val="clear"/>
            <w:vAlign w:val="center"/>
          </w:tcPr>
          <w:p w14:paraId="78B5E99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正式建立了专利补偿 制度</w:t>
            </w:r>
            <w:r>
              <w:rPr>
                <w:rFonts w:hint="eastAsia" w:ascii="宋体" w:hAnsi="宋体" w:eastAsia="宋体" w:cs="宋体"/>
                <w:i w:val="0"/>
                <w:iCs w:val="0"/>
                <w:color w:val="000000"/>
                <w:kern w:val="0"/>
                <w:sz w:val="22"/>
                <w:szCs w:val="22"/>
                <w:u w:val="none"/>
                <w:bdr w:val="none" w:color="auto" w:sz="0" w:space="0"/>
                <w:lang w:val="en-US" w:eastAsia="zh-CN" w:bidi="ar"/>
              </w:rPr>
              <w:br w:type="textWrapping"/>
            </w:r>
            <w:r>
              <w:rPr>
                <w:rFonts w:hint="eastAsia" w:ascii="宋体" w:hAnsi="宋体" w:eastAsia="宋体" w:cs="宋体"/>
                <w:i w:val="0"/>
                <w:iCs w:val="0"/>
                <w:color w:val="000000"/>
                <w:kern w:val="0"/>
                <w:sz w:val="22"/>
                <w:szCs w:val="22"/>
                <w:u w:val="none"/>
                <w:bdr w:val="none" w:color="auto" w:sz="0" w:space="0"/>
                <w:lang w:val="en-US" w:eastAsia="zh-CN" w:bidi="ar"/>
              </w:rPr>
              <w:t>为补偿新药上市审评审批占用的时间，对在我国获得上市许可的新药相关发明专利，国务院专利行政部门应专利权人的请求给予专利权期限补偿，补偿期限不超过 5 年，新药批准上市后总有效专利权期限不超过 14 年</w:t>
            </w:r>
          </w:p>
        </w:tc>
      </w:tr>
      <w:tr w14:paraId="1B93B52F">
        <w:trPr>
          <w:trHeight w:val="336" w:hRule="atLeast"/>
        </w:trPr>
        <w:tc>
          <w:tcPr>
            <w:tcW w:w="774" w:type="dxa"/>
            <w:vMerge w:val="restart"/>
            <w:tcBorders>
              <w:top w:val="single" w:color="000000" w:sz="4" w:space="0"/>
              <w:left w:val="single" w:color="000000" w:sz="4" w:space="0"/>
              <w:bottom w:val="single" w:color="000000" w:sz="4" w:space="0"/>
              <w:right w:val="single" w:color="000000" w:sz="4" w:space="0"/>
            </w:tcBorders>
            <w:shd w:val="clear"/>
            <w:vAlign w:val="center"/>
          </w:tcPr>
          <w:p w14:paraId="42A216C3">
            <w:pPr>
              <w:keepNext w:val="0"/>
              <w:keepLines w:val="0"/>
              <w:widowControl/>
              <w:suppressLineNumbers w:val="0"/>
              <w:jc w:val="center"/>
              <w:textAlignment w:val="center"/>
              <w:rPr>
                <w:rFonts w:hint="default" w:ascii="Times New Roman Regular" w:hAnsi="Times New Roman Regular" w:eastAsia="Times New Roman Regular" w:cs="Times New Roman Regular"/>
                <w:b/>
                <w:bCs/>
                <w:i w:val="0"/>
                <w:iCs w:val="0"/>
                <w:color w:val="000000"/>
                <w:sz w:val="22"/>
                <w:szCs w:val="22"/>
                <w:u w:val="none"/>
              </w:rPr>
            </w:pPr>
            <w:r>
              <w:rPr>
                <w:rFonts w:hint="default" w:ascii="Times New Roman Regular" w:hAnsi="Times New Roman Regular" w:eastAsia="Times New Roman Regular" w:cs="Times New Roman Regular"/>
                <w:b/>
                <w:bCs/>
                <w:i w:val="0"/>
                <w:iCs w:val="0"/>
                <w:color w:val="000000"/>
                <w:kern w:val="0"/>
                <w:sz w:val="22"/>
                <w:szCs w:val="22"/>
                <w:u w:val="none"/>
                <w:bdr w:val="none" w:color="auto" w:sz="0" w:space="0"/>
                <w:lang w:val="en-US" w:eastAsia="zh-CN" w:bidi="ar"/>
              </w:rPr>
              <w:t>2021</w:t>
            </w:r>
          </w:p>
        </w:tc>
        <w:tc>
          <w:tcPr>
            <w:tcW w:w="2596" w:type="dxa"/>
            <w:vMerge w:val="restart"/>
            <w:tcBorders>
              <w:top w:val="single" w:color="000000" w:sz="4" w:space="0"/>
              <w:left w:val="single" w:color="000000" w:sz="4" w:space="0"/>
              <w:bottom w:val="single" w:color="000000" w:sz="4" w:space="0"/>
              <w:right w:val="single" w:color="000000" w:sz="4" w:space="0"/>
            </w:tcBorders>
            <w:shd w:val="clear"/>
            <w:vAlign w:val="center"/>
          </w:tcPr>
          <w:p w14:paraId="2504522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w:t>
            </w:r>
            <w:r>
              <w:rPr>
                <w:rFonts w:hint="default" w:ascii="Times New Roman Regular" w:hAnsi="Times New Roman Regular" w:eastAsia="Times New Roman Regular" w:cs="Times New Roman Regular"/>
                <w:i w:val="0"/>
                <w:iCs w:val="0"/>
                <w:color w:val="000000"/>
                <w:kern w:val="0"/>
                <w:sz w:val="22"/>
                <w:szCs w:val="22"/>
                <w:u w:val="none"/>
                <w:bdr w:val="none" w:color="auto" w:sz="0" w:space="0"/>
                <w:lang w:val="en-US" w:eastAsia="zh-CN" w:bidi="ar"/>
              </w:rPr>
              <w:t>“</w:t>
            </w:r>
            <w:r>
              <w:rPr>
                <w:rFonts w:hint="eastAsia" w:ascii="宋体" w:hAnsi="宋体" w:eastAsia="宋体" w:cs="宋体"/>
                <w:i w:val="0"/>
                <w:iCs w:val="0"/>
                <w:color w:val="000000"/>
                <w:kern w:val="0"/>
                <w:sz w:val="22"/>
                <w:szCs w:val="22"/>
                <w:u w:val="none"/>
                <w:bdr w:val="none" w:color="auto" w:sz="0" w:space="0"/>
                <w:lang w:val="en-US" w:eastAsia="zh-CN" w:bidi="ar"/>
              </w:rPr>
              <w:t>十四五</w:t>
            </w:r>
            <w:r>
              <w:rPr>
                <w:rFonts w:hint="default" w:ascii="Times New Roman Regular" w:hAnsi="Times New Roman Regular" w:eastAsia="Times New Roman Regular" w:cs="Times New Roman Regular"/>
                <w:i w:val="0"/>
                <w:iCs w:val="0"/>
                <w:color w:val="000000"/>
                <w:kern w:val="0"/>
                <w:sz w:val="22"/>
                <w:szCs w:val="22"/>
                <w:u w:val="none"/>
                <w:bdr w:val="none" w:color="auto" w:sz="0" w:space="0"/>
                <w:lang w:val="en-US" w:eastAsia="zh-CN" w:bidi="ar"/>
              </w:rPr>
              <w:t>”</w:t>
            </w:r>
            <w:r>
              <w:rPr>
                <w:rFonts w:hint="eastAsia" w:ascii="宋体" w:hAnsi="宋体" w:eastAsia="宋体" w:cs="宋体"/>
                <w:i w:val="0"/>
                <w:iCs w:val="0"/>
                <w:color w:val="000000"/>
                <w:kern w:val="0"/>
                <w:sz w:val="22"/>
                <w:szCs w:val="22"/>
                <w:u w:val="none"/>
                <w:bdr w:val="none" w:color="auto" w:sz="0" w:space="0"/>
                <w:lang w:val="en-US" w:eastAsia="zh-CN" w:bidi="ar"/>
              </w:rPr>
              <w:t>国家药品安全及促进医药产业发展规划》</w:t>
            </w:r>
          </w:p>
        </w:tc>
        <w:tc>
          <w:tcPr>
            <w:tcW w:w="4989" w:type="dxa"/>
            <w:vMerge w:val="restart"/>
            <w:tcBorders>
              <w:top w:val="single" w:color="000000" w:sz="4" w:space="0"/>
              <w:left w:val="single" w:color="000000" w:sz="4" w:space="0"/>
              <w:bottom w:val="single" w:color="000000" w:sz="4" w:space="0"/>
              <w:right w:val="single" w:color="000000" w:sz="4" w:space="0"/>
            </w:tcBorders>
            <w:shd w:val="clear"/>
            <w:vAlign w:val="center"/>
          </w:tcPr>
          <w:p w14:paraId="224799E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规划</w:t>
            </w:r>
            <w:r>
              <w:rPr>
                <w:rFonts w:hint="default" w:ascii="Times New Roman Regular" w:hAnsi="Times New Roman Regular" w:eastAsia="Times New Roman Regular" w:cs="Times New Roman Regular"/>
                <w:i w:val="0"/>
                <w:iCs w:val="0"/>
                <w:color w:val="000000"/>
                <w:kern w:val="0"/>
                <w:sz w:val="22"/>
                <w:szCs w:val="22"/>
                <w:u w:val="none"/>
                <w:bdr w:val="none" w:color="auto" w:sz="0" w:space="0"/>
                <w:lang w:val="en-US" w:eastAsia="zh-CN" w:bidi="ar"/>
              </w:rPr>
              <w:t>“</w:t>
            </w:r>
            <w:r>
              <w:rPr>
                <w:rStyle w:val="10"/>
                <w:bdr w:val="none" w:color="auto" w:sz="0" w:space="0"/>
                <w:lang w:val="en-US" w:eastAsia="zh-CN" w:bidi="ar"/>
              </w:rPr>
              <w:t>十四五</w:t>
            </w:r>
            <w:r>
              <w:rPr>
                <w:rFonts w:hint="default" w:ascii="Times New Roman Regular" w:hAnsi="Times New Roman Regular" w:eastAsia="Times New Roman Regular" w:cs="Times New Roman Regular"/>
                <w:i w:val="0"/>
                <w:iCs w:val="0"/>
                <w:color w:val="000000"/>
                <w:kern w:val="0"/>
                <w:sz w:val="22"/>
                <w:szCs w:val="22"/>
                <w:u w:val="none"/>
                <w:bdr w:val="none" w:color="auto" w:sz="0" w:space="0"/>
                <w:lang w:val="en-US" w:eastAsia="zh-CN" w:bidi="ar"/>
              </w:rPr>
              <w:t>”</w:t>
            </w:r>
            <w:r>
              <w:rPr>
                <w:rStyle w:val="10"/>
                <w:bdr w:val="none" w:color="auto" w:sz="0" w:space="0"/>
                <w:lang w:val="en-US" w:eastAsia="zh-CN" w:bidi="ar"/>
              </w:rPr>
              <w:t>期间生物医药产业发展，明确发展目标和重点任务。进一步明确创新药物研发的方向和目标，支持创新药物临床试验和产业化。</w:t>
            </w:r>
          </w:p>
        </w:tc>
      </w:tr>
      <w:tr w14:paraId="106DB0C8">
        <w:trPr>
          <w:trHeight w:val="336" w:hRule="atLeast"/>
        </w:trPr>
        <w:tc>
          <w:tcPr>
            <w:tcW w:w="774" w:type="dxa"/>
            <w:vMerge w:val="continue"/>
            <w:tcBorders>
              <w:top w:val="single" w:color="000000" w:sz="4" w:space="0"/>
              <w:left w:val="single" w:color="000000" w:sz="4" w:space="0"/>
              <w:bottom w:val="single" w:color="000000" w:sz="4" w:space="0"/>
              <w:right w:val="single" w:color="000000" w:sz="4" w:space="0"/>
            </w:tcBorders>
            <w:shd w:val="clear"/>
            <w:vAlign w:val="center"/>
          </w:tcPr>
          <w:p w14:paraId="3EDD5A37">
            <w:pPr>
              <w:jc w:val="center"/>
              <w:rPr>
                <w:rFonts w:hint="default" w:ascii="Times New Roman Regular" w:hAnsi="Times New Roman Regular" w:eastAsia="Times New Roman Regular" w:cs="Times New Roman Regular"/>
                <w:b/>
                <w:bCs/>
                <w:i w:val="0"/>
                <w:iCs w:val="0"/>
                <w:color w:val="000000"/>
                <w:sz w:val="22"/>
                <w:szCs w:val="22"/>
                <w:u w:val="none"/>
              </w:rPr>
            </w:pPr>
          </w:p>
        </w:tc>
        <w:tc>
          <w:tcPr>
            <w:tcW w:w="2596" w:type="dxa"/>
            <w:vMerge w:val="continue"/>
            <w:tcBorders>
              <w:top w:val="single" w:color="000000" w:sz="4" w:space="0"/>
              <w:left w:val="single" w:color="000000" w:sz="4" w:space="0"/>
              <w:bottom w:val="single" w:color="000000" w:sz="4" w:space="0"/>
              <w:right w:val="single" w:color="000000" w:sz="4" w:space="0"/>
            </w:tcBorders>
            <w:shd w:val="clear"/>
            <w:vAlign w:val="center"/>
          </w:tcPr>
          <w:p w14:paraId="772C4AFD">
            <w:pPr>
              <w:jc w:val="center"/>
              <w:rPr>
                <w:rFonts w:hint="eastAsia" w:ascii="宋体" w:hAnsi="宋体" w:eastAsia="宋体" w:cs="宋体"/>
                <w:i w:val="0"/>
                <w:iCs w:val="0"/>
                <w:color w:val="000000"/>
                <w:sz w:val="22"/>
                <w:szCs w:val="22"/>
                <w:u w:val="none"/>
              </w:rPr>
            </w:pPr>
          </w:p>
        </w:tc>
        <w:tc>
          <w:tcPr>
            <w:tcW w:w="4989" w:type="dxa"/>
            <w:vMerge w:val="continue"/>
            <w:tcBorders>
              <w:top w:val="single" w:color="000000" w:sz="4" w:space="0"/>
              <w:left w:val="single" w:color="000000" w:sz="4" w:space="0"/>
              <w:bottom w:val="single" w:color="000000" w:sz="4" w:space="0"/>
              <w:right w:val="single" w:color="000000" w:sz="4" w:space="0"/>
            </w:tcBorders>
            <w:shd w:val="clear"/>
            <w:vAlign w:val="center"/>
          </w:tcPr>
          <w:p w14:paraId="3F42BEF0">
            <w:pPr>
              <w:jc w:val="center"/>
              <w:rPr>
                <w:rFonts w:hint="eastAsia" w:ascii="宋体" w:hAnsi="宋体" w:eastAsia="宋体" w:cs="宋体"/>
                <w:i w:val="0"/>
                <w:iCs w:val="0"/>
                <w:color w:val="000000"/>
                <w:sz w:val="22"/>
                <w:szCs w:val="22"/>
                <w:u w:val="none"/>
              </w:rPr>
            </w:pPr>
          </w:p>
        </w:tc>
      </w:tr>
      <w:tr w14:paraId="6C6A646D">
        <w:trPr>
          <w:trHeight w:val="1360" w:hRule="atLeast"/>
        </w:trPr>
        <w:tc>
          <w:tcPr>
            <w:tcW w:w="774" w:type="dxa"/>
            <w:tcBorders>
              <w:top w:val="single" w:color="000000" w:sz="4" w:space="0"/>
              <w:left w:val="single" w:color="000000" w:sz="4" w:space="0"/>
              <w:bottom w:val="single" w:color="000000" w:sz="4" w:space="0"/>
              <w:right w:val="single" w:color="000000" w:sz="4" w:space="0"/>
            </w:tcBorders>
            <w:shd w:val="clear"/>
            <w:vAlign w:val="center"/>
          </w:tcPr>
          <w:p w14:paraId="35817CA0">
            <w:pPr>
              <w:keepNext w:val="0"/>
              <w:keepLines w:val="0"/>
              <w:widowControl/>
              <w:suppressLineNumbers w:val="0"/>
              <w:jc w:val="center"/>
              <w:textAlignment w:val="center"/>
              <w:rPr>
                <w:rFonts w:hint="default" w:ascii="Times New Roman Regular" w:hAnsi="Times New Roman Regular" w:eastAsia="Times New Roman Regular" w:cs="Times New Roman Regular"/>
                <w:b/>
                <w:bCs/>
                <w:i w:val="0"/>
                <w:iCs w:val="0"/>
                <w:color w:val="000000"/>
                <w:sz w:val="22"/>
                <w:szCs w:val="22"/>
                <w:u w:val="none"/>
              </w:rPr>
            </w:pPr>
            <w:r>
              <w:rPr>
                <w:rFonts w:hint="default" w:ascii="Times New Roman Regular" w:hAnsi="Times New Roman Regular" w:eastAsia="Times New Roman Regular" w:cs="Times New Roman Regular"/>
                <w:b/>
                <w:bCs/>
                <w:i w:val="0"/>
                <w:iCs w:val="0"/>
                <w:color w:val="000000"/>
                <w:kern w:val="0"/>
                <w:sz w:val="22"/>
                <w:szCs w:val="22"/>
                <w:u w:val="none"/>
                <w:bdr w:val="none" w:color="auto" w:sz="0" w:space="0"/>
                <w:lang w:val="en-US" w:eastAsia="zh-CN" w:bidi="ar"/>
              </w:rPr>
              <w:t>2021</w:t>
            </w:r>
          </w:p>
        </w:tc>
        <w:tc>
          <w:tcPr>
            <w:tcW w:w="2596" w:type="dxa"/>
            <w:tcBorders>
              <w:top w:val="single" w:color="000000" w:sz="4" w:space="0"/>
              <w:left w:val="single" w:color="000000" w:sz="4" w:space="0"/>
              <w:bottom w:val="single" w:color="000000" w:sz="4" w:space="0"/>
              <w:right w:val="single" w:color="000000" w:sz="4" w:space="0"/>
            </w:tcBorders>
            <w:shd w:val="clear"/>
            <w:vAlign w:val="center"/>
          </w:tcPr>
          <w:p w14:paraId="2E52DB8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《关于进一步加强药品和医疗器械审评审批制度改革促进创新药物快速审评审批实施方案》</w:t>
            </w:r>
          </w:p>
        </w:tc>
        <w:tc>
          <w:tcPr>
            <w:tcW w:w="4989" w:type="dxa"/>
            <w:tcBorders>
              <w:top w:val="single" w:color="000000" w:sz="4" w:space="0"/>
              <w:left w:val="single" w:color="000000" w:sz="4" w:space="0"/>
              <w:bottom w:val="single" w:color="000000" w:sz="4" w:space="0"/>
              <w:right w:val="single" w:color="000000" w:sz="4" w:space="0"/>
            </w:tcBorders>
            <w:shd w:val="clear"/>
            <w:vAlign w:val="center"/>
          </w:tcPr>
          <w:p w14:paraId="3A72B4D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该实施方案旨在进一步加强药品和医疗器械审评审批制度改革，通过优化审评流程、提高审评效率，加快创新药物的审评审批速度，以促进创新药物的研发和上市。</w:t>
            </w:r>
          </w:p>
        </w:tc>
      </w:tr>
      <w:tr w14:paraId="320AAD82">
        <w:trPr>
          <w:trHeight w:val="1020" w:hRule="atLeast"/>
        </w:trPr>
        <w:tc>
          <w:tcPr>
            <w:tcW w:w="774" w:type="dxa"/>
            <w:tcBorders>
              <w:top w:val="single" w:color="000000" w:sz="4" w:space="0"/>
              <w:left w:val="single" w:color="000000" w:sz="4" w:space="0"/>
              <w:bottom w:val="single" w:color="000000" w:sz="4" w:space="0"/>
              <w:right w:val="single" w:color="000000" w:sz="4" w:space="0"/>
            </w:tcBorders>
            <w:shd w:val="clear"/>
            <w:vAlign w:val="center"/>
          </w:tcPr>
          <w:p w14:paraId="095FA7B5">
            <w:pPr>
              <w:keepNext w:val="0"/>
              <w:keepLines w:val="0"/>
              <w:widowControl/>
              <w:suppressLineNumbers w:val="0"/>
              <w:jc w:val="center"/>
              <w:textAlignment w:val="center"/>
              <w:rPr>
                <w:rFonts w:hint="default" w:ascii="Times New Roman Regular" w:hAnsi="Times New Roman Regular" w:eastAsia="Times New Roman Regular" w:cs="Times New Roman Regular"/>
                <w:b/>
                <w:bCs/>
                <w:i w:val="0"/>
                <w:iCs w:val="0"/>
                <w:color w:val="000000"/>
                <w:sz w:val="22"/>
                <w:szCs w:val="22"/>
                <w:u w:val="none"/>
              </w:rPr>
            </w:pPr>
            <w:r>
              <w:rPr>
                <w:rFonts w:hint="default" w:ascii="Times New Roman Regular" w:hAnsi="Times New Roman Regular" w:eastAsia="Times New Roman Regular" w:cs="Times New Roman Regular"/>
                <w:b/>
                <w:bCs/>
                <w:i w:val="0"/>
                <w:iCs w:val="0"/>
                <w:color w:val="000000"/>
                <w:kern w:val="0"/>
                <w:sz w:val="22"/>
                <w:szCs w:val="22"/>
                <w:u w:val="none"/>
                <w:bdr w:val="none" w:color="auto" w:sz="0" w:space="0"/>
                <w:lang w:val="en-US" w:eastAsia="zh-CN" w:bidi="ar"/>
              </w:rPr>
              <w:t>2021</w:t>
            </w:r>
          </w:p>
        </w:tc>
        <w:tc>
          <w:tcPr>
            <w:tcW w:w="2596" w:type="dxa"/>
            <w:tcBorders>
              <w:top w:val="single" w:color="000000" w:sz="4" w:space="0"/>
              <w:left w:val="single" w:color="000000" w:sz="4" w:space="0"/>
              <w:bottom w:val="single" w:color="000000" w:sz="4" w:space="0"/>
              <w:right w:val="single" w:color="000000" w:sz="4" w:space="0"/>
            </w:tcBorders>
            <w:shd w:val="clear"/>
            <w:vAlign w:val="center"/>
          </w:tcPr>
          <w:p w14:paraId="50DA14F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《国家基本药物目录（</w:t>
            </w:r>
            <w:r>
              <w:rPr>
                <w:rFonts w:hint="default" w:ascii="Times New Roman Regular" w:hAnsi="Times New Roman Regular" w:eastAsia="Times New Roman Regular" w:cs="Times New Roman Regular"/>
                <w:i w:val="0"/>
                <w:iCs w:val="0"/>
                <w:color w:val="000000"/>
                <w:kern w:val="0"/>
                <w:sz w:val="22"/>
                <w:szCs w:val="22"/>
                <w:u w:val="none"/>
                <w:bdr w:val="none" w:color="auto" w:sz="0" w:space="0"/>
                <w:lang w:val="en-US" w:eastAsia="zh-CN" w:bidi="ar"/>
              </w:rPr>
              <w:t>2021</w:t>
            </w:r>
            <w:r>
              <w:rPr>
                <w:rFonts w:hint="eastAsia" w:ascii="宋体" w:hAnsi="宋体" w:eastAsia="宋体" w:cs="宋体"/>
                <w:i w:val="0"/>
                <w:iCs w:val="0"/>
                <w:color w:val="000000"/>
                <w:kern w:val="0"/>
                <w:sz w:val="22"/>
                <w:szCs w:val="22"/>
                <w:u w:val="none"/>
                <w:bdr w:val="none" w:color="auto" w:sz="0" w:space="0"/>
                <w:lang w:val="en-US" w:eastAsia="zh-CN" w:bidi="ar"/>
              </w:rPr>
              <w:t>年版）》</w:t>
            </w:r>
          </w:p>
        </w:tc>
        <w:tc>
          <w:tcPr>
            <w:tcW w:w="4989" w:type="dxa"/>
            <w:tcBorders>
              <w:top w:val="single" w:color="000000" w:sz="4" w:space="0"/>
              <w:left w:val="single" w:color="000000" w:sz="4" w:space="0"/>
              <w:bottom w:val="single" w:color="000000" w:sz="4" w:space="0"/>
              <w:right w:val="single" w:color="000000" w:sz="4" w:space="0"/>
            </w:tcBorders>
            <w:shd w:val="clear"/>
            <w:vAlign w:val="center"/>
          </w:tcPr>
          <w:p w14:paraId="6CE28863">
            <w:pPr>
              <w:keepNext w:val="0"/>
              <w:keepLines w:val="0"/>
              <w:widowControl/>
              <w:suppressLineNumbers w:val="0"/>
              <w:jc w:val="center"/>
              <w:textAlignment w:val="center"/>
              <w:rPr>
                <w:rFonts w:hint="default" w:ascii="Times New Roman Regular" w:hAnsi="Times New Roman Regular" w:eastAsia="Times New Roman Regular" w:cs="Times New Roman Regular"/>
                <w:i w:val="0"/>
                <w:iCs w:val="0"/>
                <w:color w:val="000000"/>
                <w:sz w:val="22"/>
                <w:szCs w:val="22"/>
                <w:u w:val="none"/>
              </w:rPr>
            </w:pPr>
            <w:r>
              <w:rPr>
                <w:rFonts w:hint="default" w:ascii="Times New Roman Regular" w:hAnsi="Times New Roman Regular" w:eastAsia="Times New Roman Regular" w:cs="Times New Roman Regular"/>
                <w:i w:val="0"/>
                <w:iCs w:val="0"/>
                <w:color w:val="000000"/>
                <w:kern w:val="0"/>
                <w:sz w:val="22"/>
                <w:szCs w:val="22"/>
                <w:u w:val="none"/>
                <w:bdr w:val="none" w:color="auto" w:sz="0" w:space="0"/>
                <w:lang w:val="en-US" w:eastAsia="zh-CN" w:bidi="ar"/>
              </w:rPr>
              <w:t>74</w:t>
            </w:r>
            <w:r>
              <w:rPr>
                <w:rFonts w:hint="eastAsia" w:ascii="宋体" w:hAnsi="宋体" w:eastAsia="宋体" w:cs="宋体"/>
                <w:i w:val="0"/>
                <w:iCs w:val="0"/>
                <w:color w:val="000000"/>
                <w:kern w:val="0"/>
                <w:sz w:val="22"/>
                <w:szCs w:val="22"/>
                <w:u w:val="none"/>
                <w:bdr w:val="none" w:color="auto" w:sz="0" w:space="0"/>
                <w:lang w:val="en-US" w:eastAsia="zh-CN" w:bidi="ar"/>
              </w:rPr>
              <w:t>种药品新增进入目录，新纳入药品精准补齐种瘤、慢性病、抗感染、罕见病、妇女儿童等用药需求，共涉及</w:t>
            </w:r>
            <w:r>
              <w:rPr>
                <w:rFonts w:hint="default" w:ascii="Times New Roman Regular" w:hAnsi="Times New Roman Regular" w:eastAsia="Times New Roman Regular" w:cs="Times New Roman Regular"/>
                <w:i w:val="0"/>
                <w:iCs w:val="0"/>
                <w:color w:val="000000"/>
                <w:kern w:val="0"/>
                <w:sz w:val="22"/>
                <w:szCs w:val="22"/>
                <w:u w:val="none"/>
                <w:bdr w:val="none" w:color="auto" w:sz="0" w:space="0"/>
                <w:lang w:val="en-US" w:eastAsia="zh-CN" w:bidi="ar"/>
              </w:rPr>
              <w:t>21</w:t>
            </w:r>
            <w:r>
              <w:rPr>
                <w:rFonts w:hint="eastAsia" w:ascii="宋体" w:hAnsi="宋体" w:eastAsia="宋体" w:cs="宋体"/>
                <w:i w:val="0"/>
                <w:iCs w:val="0"/>
                <w:color w:val="000000"/>
                <w:kern w:val="0"/>
                <w:sz w:val="22"/>
                <w:szCs w:val="22"/>
                <w:u w:val="none"/>
                <w:bdr w:val="none" w:color="auto" w:sz="0" w:space="0"/>
                <w:lang w:val="en-US" w:eastAsia="zh-CN" w:bidi="ar"/>
              </w:rPr>
              <w:t>个临床组别</w:t>
            </w:r>
          </w:p>
        </w:tc>
      </w:tr>
      <w:tr w14:paraId="5AE745F6">
        <w:trPr>
          <w:trHeight w:val="680" w:hRule="atLeast"/>
        </w:trPr>
        <w:tc>
          <w:tcPr>
            <w:tcW w:w="774" w:type="dxa"/>
            <w:tcBorders>
              <w:top w:val="single" w:color="000000" w:sz="4" w:space="0"/>
              <w:left w:val="single" w:color="000000" w:sz="4" w:space="0"/>
              <w:bottom w:val="single" w:color="000000" w:sz="4" w:space="0"/>
              <w:right w:val="single" w:color="000000" w:sz="4" w:space="0"/>
            </w:tcBorders>
            <w:shd w:val="clear"/>
            <w:vAlign w:val="center"/>
          </w:tcPr>
          <w:p w14:paraId="02CC33F9">
            <w:pPr>
              <w:keepNext w:val="0"/>
              <w:keepLines w:val="0"/>
              <w:widowControl/>
              <w:suppressLineNumbers w:val="0"/>
              <w:jc w:val="center"/>
              <w:textAlignment w:val="center"/>
              <w:rPr>
                <w:rFonts w:hint="default" w:ascii="Times New Roman Regular" w:hAnsi="Times New Roman Regular" w:eastAsia="Times New Roman Regular" w:cs="Times New Roman Regular"/>
                <w:b/>
                <w:bCs/>
                <w:i w:val="0"/>
                <w:iCs w:val="0"/>
                <w:color w:val="000000"/>
                <w:sz w:val="22"/>
                <w:szCs w:val="22"/>
                <w:u w:val="none"/>
              </w:rPr>
            </w:pPr>
            <w:r>
              <w:rPr>
                <w:rFonts w:hint="default" w:ascii="Times New Roman Regular" w:hAnsi="Times New Roman Regular" w:eastAsia="Times New Roman Regular" w:cs="Times New Roman Regular"/>
                <w:b/>
                <w:bCs/>
                <w:i w:val="0"/>
                <w:iCs w:val="0"/>
                <w:color w:val="000000"/>
                <w:kern w:val="0"/>
                <w:sz w:val="22"/>
                <w:szCs w:val="22"/>
                <w:u w:val="none"/>
                <w:bdr w:val="none" w:color="auto" w:sz="0" w:space="0"/>
                <w:lang w:val="en-US" w:eastAsia="zh-CN" w:bidi="ar"/>
              </w:rPr>
              <w:t>2021</w:t>
            </w:r>
          </w:p>
        </w:tc>
        <w:tc>
          <w:tcPr>
            <w:tcW w:w="2596" w:type="dxa"/>
            <w:tcBorders>
              <w:top w:val="single" w:color="000000" w:sz="4" w:space="0"/>
              <w:left w:val="single" w:color="000000" w:sz="4" w:space="0"/>
              <w:bottom w:val="single" w:color="000000" w:sz="4" w:space="0"/>
              <w:right w:val="single" w:color="000000" w:sz="4" w:space="0"/>
            </w:tcBorders>
            <w:shd w:val="clear"/>
            <w:vAlign w:val="center"/>
          </w:tcPr>
          <w:p w14:paraId="52B3196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《国务院办公厅关于全面加强药品 监管能力建设的实施意见》</w:t>
            </w:r>
          </w:p>
        </w:tc>
        <w:tc>
          <w:tcPr>
            <w:tcW w:w="4989" w:type="dxa"/>
            <w:tcBorders>
              <w:top w:val="single" w:color="000000" w:sz="4" w:space="0"/>
              <w:left w:val="single" w:color="000000" w:sz="4" w:space="0"/>
              <w:bottom w:val="single" w:color="000000" w:sz="4" w:space="0"/>
              <w:right w:val="single" w:color="000000" w:sz="4" w:space="0"/>
            </w:tcBorders>
            <w:shd w:val="clear"/>
            <w:vAlign w:val="center"/>
          </w:tcPr>
          <w:p w14:paraId="496CC97A">
            <w:pPr>
              <w:keepNext w:val="0"/>
              <w:keepLines w:val="0"/>
              <w:widowControl/>
              <w:suppressLineNumbers w:val="0"/>
              <w:jc w:val="center"/>
              <w:textAlignment w:val="center"/>
              <w:rPr>
                <w:rFonts w:ascii="宋体-简" w:hAnsi="宋体-简" w:eastAsia="宋体-简" w:cs="宋体-简"/>
                <w:i w:val="0"/>
                <w:iCs w:val="0"/>
                <w:color w:val="000000"/>
                <w:sz w:val="22"/>
                <w:szCs w:val="22"/>
                <w:u w:val="none"/>
              </w:rPr>
            </w:pPr>
            <w:r>
              <w:rPr>
                <w:rFonts w:hint="eastAsia" w:ascii="宋体-简" w:hAnsi="宋体-简" w:eastAsia="宋体-简" w:cs="宋体-简"/>
                <w:i w:val="0"/>
                <w:iCs w:val="0"/>
                <w:color w:val="000000"/>
                <w:kern w:val="0"/>
                <w:sz w:val="22"/>
                <w:szCs w:val="22"/>
                <w:u w:val="none"/>
                <w:bdr w:val="none" w:color="auto" w:sz="0" w:space="0"/>
                <w:lang w:val="en-US" w:eastAsia="zh-CN" w:bidi="ar"/>
              </w:rPr>
              <w:t>增加了创新药品，会议沟通的频次要求</w:t>
            </w:r>
          </w:p>
        </w:tc>
      </w:tr>
      <w:tr w14:paraId="0924F1B6">
        <w:trPr>
          <w:trHeight w:val="336" w:hRule="atLeast"/>
        </w:trPr>
        <w:tc>
          <w:tcPr>
            <w:tcW w:w="774" w:type="dxa"/>
            <w:vMerge w:val="restart"/>
            <w:tcBorders>
              <w:top w:val="single" w:color="000000" w:sz="4" w:space="0"/>
              <w:left w:val="single" w:color="000000" w:sz="4" w:space="0"/>
              <w:bottom w:val="single" w:color="000000" w:sz="4" w:space="0"/>
              <w:right w:val="single" w:color="000000" w:sz="4" w:space="0"/>
            </w:tcBorders>
            <w:shd w:val="clear"/>
            <w:vAlign w:val="center"/>
          </w:tcPr>
          <w:p w14:paraId="57E4808E">
            <w:pPr>
              <w:keepNext w:val="0"/>
              <w:keepLines w:val="0"/>
              <w:widowControl/>
              <w:suppressLineNumbers w:val="0"/>
              <w:jc w:val="center"/>
              <w:textAlignment w:val="center"/>
              <w:rPr>
                <w:rFonts w:hint="default" w:ascii="Times New Roman Regular" w:hAnsi="Times New Roman Regular" w:eastAsia="Times New Roman Regular" w:cs="Times New Roman Regular"/>
                <w:b/>
                <w:bCs/>
                <w:i w:val="0"/>
                <w:iCs w:val="0"/>
                <w:color w:val="000000"/>
                <w:sz w:val="22"/>
                <w:szCs w:val="22"/>
                <w:u w:val="none"/>
              </w:rPr>
            </w:pPr>
            <w:r>
              <w:rPr>
                <w:rFonts w:hint="default" w:ascii="Times New Roman Regular" w:hAnsi="Times New Roman Regular" w:eastAsia="Times New Roman Regular" w:cs="Times New Roman Regular"/>
                <w:b/>
                <w:bCs/>
                <w:i w:val="0"/>
                <w:iCs w:val="0"/>
                <w:color w:val="000000"/>
                <w:kern w:val="0"/>
                <w:sz w:val="22"/>
                <w:szCs w:val="22"/>
                <w:u w:val="none"/>
                <w:bdr w:val="none" w:color="auto" w:sz="0" w:space="0"/>
                <w:lang w:val="en-US" w:eastAsia="zh-CN" w:bidi="ar"/>
              </w:rPr>
              <w:t>2022</w:t>
            </w:r>
          </w:p>
        </w:tc>
        <w:tc>
          <w:tcPr>
            <w:tcW w:w="2596" w:type="dxa"/>
            <w:vMerge w:val="restart"/>
            <w:tcBorders>
              <w:top w:val="single" w:color="000000" w:sz="4" w:space="0"/>
              <w:left w:val="single" w:color="000000" w:sz="4" w:space="0"/>
              <w:bottom w:val="single" w:color="000000" w:sz="4" w:space="0"/>
              <w:right w:val="single" w:color="000000" w:sz="4" w:space="0"/>
            </w:tcBorders>
            <w:shd w:val="clear"/>
            <w:vAlign w:val="center"/>
          </w:tcPr>
          <w:p w14:paraId="24B4935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《国家基本药物目录（</w:t>
            </w:r>
            <w:r>
              <w:rPr>
                <w:rFonts w:hint="default" w:ascii="Times New Roman Regular" w:hAnsi="Times New Roman Regular" w:eastAsia="Times New Roman Regular" w:cs="Times New Roman Regular"/>
                <w:i w:val="0"/>
                <w:iCs w:val="0"/>
                <w:color w:val="000000"/>
                <w:kern w:val="0"/>
                <w:sz w:val="22"/>
                <w:szCs w:val="22"/>
                <w:u w:val="none"/>
                <w:bdr w:val="none" w:color="auto" w:sz="0" w:space="0"/>
                <w:lang w:val="en-US" w:eastAsia="zh-CN" w:bidi="ar"/>
              </w:rPr>
              <w:t>2022</w:t>
            </w:r>
            <w:r>
              <w:rPr>
                <w:rFonts w:hint="eastAsia" w:ascii="宋体" w:hAnsi="宋体" w:eastAsia="宋体" w:cs="宋体"/>
                <w:i w:val="0"/>
                <w:iCs w:val="0"/>
                <w:color w:val="000000"/>
                <w:kern w:val="0"/>
                <w:sz w:val="22"/>
                <w:szCs w:val="22"/>
                <w:u w:val="none"/>
                <w:bdr w:val="none" w:color="auto" w:sz="0" w:space="0"/>
                <w:lang w:val="en-US" w:eastAsia="zh-CN" w:bidi="ar"/>
              </w:rPr>
              <w:t>年版）》</w:t>
            </w:r>
          </w:p>
        </w:tc>
        <w:tc>
          <w:tcPr>
            <w:tcW w:w="4989" w:type="dxa"/>
            <w:vMerge w:val="restart"/>
            <w:tcBorders>
              <w:top w:val="single" w:color="000000" w:sz="4" w:space="0"/>
              <w:left w:val="single" w:color="000000" w:sz="4" w:space="0"/>
              <w:bottom w:val="single" w:color="000000" w:sz="4" w:space="0"/>
              <w:right w:val="single" w:color="000000" w:sz="4" w:space="0"/>
            </w:tcBorders>
            <w:shd w:val="clear"/>
            <w:vAlign w:val="center"/>
          </w:tcPr>
          <w:p w14:paraId="6525093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共有</w:t>
            </w:r>
            <w:r>
              <w:rPr>
                <w:rFonts w:hint="default" w:ascii="Times New Roman Regular" w:hAnsi="Times New Roman Regular" w:eastAsia="Times New Roman Regular" w:cs="Times New Roman Regular"/>
                <w:i w:val="0"/>
                <w:iCs w:val="0"/>
                <w:color w:val="000000"/>
                <w:kern w:val="0"/>
                <w:sz w:val="22"/>
                <w:szCs w:val="22"/>
                <w:u w:val="none"/>
                <w:bdr w:val="none" w:color="auto" w:sz="0" w:space="0"/>
                <w:lang w:val="en-US" w:eastAsia="zh-CN" w:bidi="ar"/>
              </w:rPr>
              <w:t>111</w:t>
            </w:r>
            <w:r>
              <w:rPr>
                <w:rStyle w:val="10"/>
                <w:bdr w:val="none" w:color="auto" w:sz="0" w:space="0"/>
                <w:lang w:val="en-US" w:eastAsia="zh-CN" w:bidi="ar"/>
              </w:rPr>
              <w:t>个药品新增进入目录，包括慢性病用药</w:t>
            </w:r>
            <w:r>
              <w:rPr>
                <w:rFonts w:hint="default" w:ascii="Times New Roman Regular" w:hAnsi="Times New Roman Regular" w:eastAsia="Times New Roman Regular" w:cs="Times New Roman Regular"/>
                <w:i w:val="0"/>
                <w:iCs w:val="0"/>
                <w:color w:val="000000"/>
                <w:kern w:val="0"/>
                <w:sz w:val="22"/>
                <w:szCs w:val="22"/>
                <w:u w:val="none"/>
                <w:bdr w:val="none" w:color="auto" w:sz="0" w:space="0"/>
                <w:lang w:val="en-US" w:eastAsia="zh-CN" w:bidi="ar"/>
              </w:rPr>
              <w:t>56</w:t>
            </w:r>
            <w:r>
              <w:rPr>
                <w:rStyle w:val="10"/>
                <w:bdr w:val="none" w:color="auto" w:sz="0" w:space="0"/>
                <w:lang w:val="en-US" w:eastAsia="zh-CN" w:bidi="ar"/>
              </w:rPr>
              <w:t>种，肿瘤用药</w:t>
            </w:r>
            <w:r>
              <w:rPr>
                <w:rFonts w:hint="default" w:ascii="Times New Roman Regular" w:hAnsi="Times New Roman Regular" w:eastAsia="Times New Roman Regular" w:cs="Times New Roman Regular"/>
                <w:i w:val="0"/>
                <w:iCs w:val="0"/>
                <w:color w:val="000000"/>
                <w:kern w:val="0"/>
                <w:sz w:val="22"/>
                <w:szCs w:val="22"/>
                <w:u w:val="none"/>
                <w:bdr w:val="none" w:color="auto" w:sz="0" w:space="0"/>
                <w:lang w:val="en-US" w:eastAsia="zh-CN" w:bidi="ar"/>
              </w:rPr>
              <w:t>23</w:t>
            </w:r>
            <w:r>
              <w:rPr>
                <w:rStyle w:val="10"/>
                <w:bdr w:val="none" w:color="auto" w:sz="0" w:space="0"/>
                <w:lang w:val="en-US" w:eastAsia="zh-CN" w:bidi="ar"/>
              </w:rPr>
              <w:t>种，抗感染用药</w:t>
            </w:r>
            <w:r>
              <w:rPr>
                <w:rFonts w:hint="default" w:ascii="Times New Roman Regular" w:hAnsi="Times New Roman Regular" w:eastAsia="Times New Roman Regular" w:cs="Times New Roman Regular"/>
                <w:i w:val="0"/>
                <w:iCs w:val="0"/>
                <w:color w:val="000000"/>
                <w:kern w:val="0"/>
                <w:sz w:val="22"/>
                <w:szCs w:val="22"/>
                <w:u w:val="none"/>
                <w:bdr w:val="none" w:color="auto" w:sz="0" w:space="0"/>
                <w:lang w:val="en-US" w:eastAsia="zh-CN" w:bidi="ar"/>
              </w:rPr>
              <w:t>17</w:t>
            </w:r>
            <w:r>
              <w:rPr>
                <w:rStyle w:val="10"/>
                <w:bdr w:val="none" w:color="auto" w:sz="0" w:space="0"/>
                <w:lang w:val="en-US" w:eastAsia="zh-CN" w:bidi="ar"/>
              </w:rPr>
              <w:t>种，罕见病用药</w:t>
            </w:r>
            <w:r>
              <w:rPr>
                <w:rFonts w:hint="default" w:ascii="Times New Roman Regular" w:hAnsi="Times New Roman Regular" w:eastAsia="Times New Roman Regular" w:cs="Times New Roman Regular"/>
                <w:i w:val="0"/>
                <w:iCs w:val="0"/>
                <w:color w:val="000000"/>
                <w:kern w:val="0"/>
                <w:sz w:val="22"/>
                <w:szCs w:val="22"/>
                <w:u w:val="none"/>
                <w:bdr w:val="none" w:color="auto" w:sz="0" w:space="0"/>
                <w:lang w:val="en-US" w:eastAsia="zh-CN" w:bidi="ar"/>
              </w:rPr>
              <w:t>7</w:t>
            </w:r>
            <w:r>
              <w:rPr>
                <w:rStyle w:val="10"/>
                <w:bdr w:val="none" w:color="auto" w:sz="0" w:space="0"/>
                <w:lang w:val="en-US" w:eastAsia="zh-CN" w:bidi="ar"/>
              </w:rPr>
              <w:t>种，新冠肺炎治疗用药2种，还有其他领域的用药6种</w:t>
            </w:r>
          </w:p>
        </w:tc>
      </w:tr>
      <w:tr w14:paraId="6DDCEE1B">
        <w:trPr>
          <w:trHeight w:val="336" w:hRule="atLeast"/>
        </w:trPr>
        <w:tc>
          <w:tcPr>
            <w:tcW w:w="774" w:type="dxa"/>
            <w:vMerge w:val="continue"/>
            <w:tcBorders>
              <w:top w:val="single" w:color="000000" w:sz="4" w:space="0"/>
              <w:left w:val="single" w:color="000000" w:sz="4" w:space="0"/>
              <w:bottom w:val="single" w:color="000000" w:sz="4" w:space="0"/>
              <w:right w:val="single" w:color="000000" w:sz="4" w:space="0"/>
            </w:tcBorders>
            <w:shd w:val="clear"/>
            <w:vAlign w:val="center"/>
          </w:tcPr>
          <w:p w14:paraId="7092C904">
            <w:pPr>
              <w:jc w:val="center"/>
              <w:rPr>
                <w:rFonts w:hint="default" w:ascii="Times New Roman Regular" w:hAnsi="Times New Roman Regular" w:eastAsia="Times New Roman Regular" w:cs="Times New Roman Regular"/>
                <w:b/>
                <w:bCs/>
                <w:i w:val="0"/>
                <w:iCs w:val="0"/>
                <w:color w:val="000000"/>
                <w:sz w:val="22"/>
                <w:szCs w:val="22"/>
                <w:u w:val="none"/>
              </w:rPr>
            </w:pPr>
          </w:p>
        </w:tc>
        <w:tc>
          <w:tcPr>
            <w:tcW w:w="2596" w:type="dxa"/>
            <w:vMerge w:val="continue"/>
            <w:tcBorders>
              <w:top w:val="single" w:color="000000" w:sz="4" w:space="0"/>
              <w:left w:val="single" w:color="000000" w:sz="4" w:space="0"/>
              <w:bottom w:val="single" w:color="000000" w:sz="4" w:space="0"/>
              <w:right w:val="single" w:color="000000" w:sz="4" w:space="0"/>
            </w:tcBorders>
            <w:shd w:val="clear"/>
            <w:vAlign w:val="center"/>
          </w:tcPr>
          <w:p w14:paraId="43025AFA">
            <w:pPr>
              <w:jc w:val="center"/>
              <w:rPr>
                <w:rFonts w:hint="eastAsia" w:ascii="宋体" w:hAnsi="宋体" w:eastAsia="宋体" w:cs="宋体"/>
                <w:i w:val="0"/>
                <w:iCs w:val="0"/>
                <w:color w:val="000000"/>
                <w:sz w:val="22"/>
                <w:szCs w:val="22"/>
                <w:u w:val="none"/>
              </w:rPr>
            </w:pPr>
          </w:p>
        </w:tc>
        <w:tc>
          <w:tcPr>
            <w:tcW w:w="4989" w:type="dxa"/>
            <w:vMerge w:val="continue"/>
            <w:tcBorders>
              <w:top w:val="single" w:color="000000" w:sz="4" w:space="0"/>
              <w:left w:val="single" w:color="000000" w:sz="4" w:space="0"/>
              <w:bottom w:val="single" w:color="000000" w:sz="4" w:space="0"/>
              <w:right w:val="single" w:color="000000" w:sz="4" w:space="0"/>
            </w:tcBorders>
            <w:shd w:val="clear"/>
            <w:vAlign w:val="center"/>
          </w:tcPr>
          <w:p w14:paraId="1EADF727">
            <w:pPr>
              <w:jc w:val="center"/>
              <w:rPr>
                <w:rFonts w:hint="eastAsia" w:ascii="宋体" w:hAnsi="宋体" w:eastAsia="宋体" w:cs="宋体"/>
                <w:i w:val="0"/>
                <w:iCs w:val="0"/>
                <w:color w:val="000000"/>
                <w:sz w:val="22"/>
                <w:szCs w:val="22"/>
                <w:u w:val="none"/>
              </w:rPr>
            </w:pPr>
          </w:p>
        </w:tc>
      </w:tr>
      <w:tr w14:paraId="70041118">
        <w:trPr>
          <w:trHeight w:val="336" w:hRule="atLeast"/>
        </w:trPr>
        <w:tc>
          <w:tcPr>
            <w:tcW w:w="774" w:type="dxa"/>
            <w:vMerge w:val="restart"/>
            <w:tcBorders>
              <w:top w:val="single" w:color="000000" w:sz="4" w:space="0"/>
              <w:left w:val="single" w:color="000000" w:sz="4" w:space="0"/>
              <w:bottom w:val="single" w:color="000000" w:sz="4" w:space="0"/>
              <w:right w:val="single" w:color="000000" w:sz="4" w:space="0"/>
            </w:tcBorders>
            <w:shd w:val="clear"/>
            <w:vAlign w:val="center"/>
          </w:tcPr>
          <w:p w14:paraId="5B6C29C1">
            <w:pPr>
              <w:keepNext w:val="0"/>
              <w:keepLines w:val="0"/>
              <w:widowControl/>
              <w:suppressLineNumbers w:val="0"/>
              <w:jc w:val="center"/>
              <w:textAlignment w:val="center"/>
              <w:rPr>
                <w:rFonts w:hint="default" w:ascii="Times New Roman Regular" w:hAnsi="Times New Roman Regular" w:eastAsia="Times New Roman Regular" w:cs="Times New Roman Regular"/>
                <w:b/>
                <w:bCs/>
                <w:i w:val="0"/>
                <w:iCs w:val="0"/>
                <w:color w:val="000000"/>
                <w:sz w:val="22"/>
                <w:szCs w:val="22"/>
                <w:u w:val="none"/>
              </w:rPr>
            </w:pPr>
            <w:r>
              <w:rPr>
                <w:rFonts w:hint="default" w:ascii="Times New Roman Regular" w:hAnsi="Times New Roman Regular" w:eastAsia="Times New Roman Regular" w:cs="Times New Roman Regular"/>
                <w:b/>
                <w:bCs/>
                <w:i w:val="0"/>
                <w:iCs w:val="0"/>
                <w:color w:val="000000"/>
                <w:kern w:val="0"/>
                <w:sz w:val="22"/>
                <w:szCs w:val="22"/>
                <w:u w:val="none"/>
                <w:bdr w:val="none" w:color="auto" w:sz="0" w:space="0"/>
                <w:lang w:val="en-US" w:eastAsia="zh-CN" w:bidi="ar"/>
              </w:rPr>
              <w:t>2023</w:t>
            </w:r>
          </w:p>
        </w:tc>
        <w:tc>
          <w:tcPr>
            <w:tcW w:w="2596" w:type="dxa"/>
            <w:vMerge w:val="restart"/>
            <w:tcBorders>
              <w:top w:val="single" w:color="000000" w:sz="4" w:space="0"/>
              <w:left w:val="single" w:color="000000" w:sz="4" w:space="0"/>
              <w:bottom w:val="single" w:color="000000" w:sz="4" w:space="0"/>
              <w:right w:val="single" w:color="000000" w:sz="4" w:space="0"/>
            </w:tcBorders>
            <w:shd w:val="clear"/>
            <w:vAlign w:val="center"/>
          </w:tcPr>
          <w:p w14:paraId="205930B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《国家基本药物目录（</w:t>
            </w:r>
            <w:r>
              <w:rPr>
                <w:rFonts w:hint="default" w:ascii="Times New Roman Regular" w:hAnsi="Times New Roman Regular" w:eastAsia="Times New Roman Regular" w:cs="Times New Roman Regular"/>
                <w:i w:val="0"/>
                <w:iCs w:val="0"/>
                <w:color w:val="000000"/>
                <w:kern w:val="0"/>
                <w:sz w:val="22"/>
                <w:szCs w:val="22"/>
                <w:u w:val="none"/>
                <w:bdr w:val="none" w:color="auto" w:sz="0" w:space="0"/>
                <w:lang w:val="en-US" w:eastAsia="zh-CN" w:bidi="ar"/>
              </w:rPr>
              <w:t>2023</w:t>
            </w:r>
            <w:r>
              <w:rPr>
                <w:rFonts w:hint="eastAsia" w:ascii="宋体" w:hAnsi="宋体" w:eastAsia="宋体" w:cs="宋体"/>
                <w:i w:val="0"/>
                <w:iCs w:val="0"/>
                <w:color w:val="000000"/>
                <w:kern w:val="0"/>
                <w:sz w:val="22"/>
                <w:szCs w:val="22"/>
                <w:u w:val="none"/>
                <w:bdr w:val="none" w:color="auto" w:sz="0" w:space="0"/>
                <w:lang w:val="en-US" w:eastAsia="zh-CN" w:bidi="ar"/>
              </w:rPr>
              <w:t>年版）》</w:t>
            </w:r>
          </w:p>
        </w:tc>
        <w:tc>
          <w:tcPr>
            <w:tcW w:w="4989" w:type="dxa"/>
            <w:vMerge w:val="restart"/>
            <w:tcBorders>
              <w:top w:val="single" w:color="000000" w:sz="4" w:space="0"/>
              <w:left w:val="single" w:color="000000" w:sz="4" w:space="0"/>
              <w:bottom w:val="single" w:color="000000" w:sz="4" w:space="0"/>
              <w:right w:val="single" w:color="000000" w:sz="4" w:space="0"/>
            </w:tcBorders>
            <w:shd w:val="clear"/>
            <w:vAlign w:val="center"/>
          </w:tcPr>
          <w:p w14:paraId="65CF1F9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共有</w:t>
            </w:r>
            <w:r>
              <w:rPr>
                <w:rFonts w:hint="default" w:ascii="Times New Roman Regular" w:hAnsi="Times New Roman Regular" w:eastAsia="Times New Roman Regular" w:cs="Times New Roman Regular"/>
                <w:i w:val="0"/>
                <w:iCs w:val="0"/>
                <w:color w:val="000000"/>
                <w:kern w:val="0"/>
                <w:sz w:val="22"/>
                <w:szCs w:val="22"/>
                <w:u w:val="none"/>
                <w:bdr w:val="none" w:color="auto" w:sz="0" w:space="0"/>
                <w:lang w:val="en-US" w:eastAsia="zh-CN" w:bidi="ar"/>
              </w:rPr>
              <w:t>126</w:t>
            </w:r>
            <w:r>
              <w:rPr>
                <w:rStyle w:val="10"/>
                <w:bdr w:val="none" w:color="auto" w:sz="0" w:space="0"/>
                <w:lang w:val="en-US" w:eastAsia="zh-CN" w:bidi="ar"/>
              </w:rPr>
              <w:t>个药品新增进入国家医保药品目录，15个目录外罕见病用药谈判或竞价成功，覆盖16个罕见病病种，填补了10个病种的用药保障空自</w:t>
            </w:r>
          </w:p>
        </w:tc>
      </w:tr>
      <w:tr w14:paraId="5226B068">
        <w:trPr>
          <w:trHeight w:val="336" w:hRule="atLeast"/>
        </w:trPr>
        <w:tc>
          <w:tcPr>
            <w:tcW w:w="774" w:type="dxa"/>
            <w:vMerge w:val="continue"/>
            <w:tcBorders>
              <w:top w:val="single" w:color="000000" w:sz="4" w:space="0"/>
              <w:left w:val="single" w:color="000000" w:sz="4" w:space="0"/>
              <w:bottom w:val="single" w:color="000000" w:sz="4" w:space="0"/>
              <w:right w:val="single" w:color="000000" w:sz="4" w:space="0"/>
            </w:tcBorders>
            <w:shd w:val="clear"/>
            <w:vAlign w:val="center"/>
          </w:tcPr>
          <w:p w14:paraId="4E255836">
            <w:pPr>
              <w:jc w:val="center"/>
              <w:rPr>
                <w:rFonts w:hint="default" w:ascii="Times New Roman Regular" w:hAnsi="Times New Roman Regular" w:eastAsia="Times New Roman Regular" w:cs="Times New Roman Regular"/>
                <w:b/>
                <w:bCs/>
                <w:i w:val="0"/>
                <w:iCs w:val="0"/>
                <w:color w:val="000000"/>
                <w:sz w:val="22"/>
                <w:szCs w:val="22"/>
                <w:u w:val="none"/>
              </w:rPr>
            </w:pPr>
          </w:p>
        </w:tc>
        <w:tc>
          <w:tcPr>
            <w:tcW w:w="2596" w:type="dxa"/>
            <w:vMerge w:val="continue"/>
            <w:tcBorders>
              <w:top w:val="single" w:color="000000" w:sz="4" w:space="0"/>
              <w:left w:val="single" w:color="000000" w:sz="4" w:space="0"/>
              <w:bottom w:val="single" w:color="000000" w:sz="4" w:space="0"/>
              <w:right w:val="single" w:color="000000" w:sz="4" w:space="0"/>
            </w:tcBorders>
            <w:shd w:val="clear"/>
            <w:vAlign w:val="center"/>
          </w:tcPr>
          <w:p w14:paraId="708268DC">
            <w:pPr>
              <w:jc w:val="center"/>
              <w:rPr>
                <w:rFonts w:hint="eastAsia" w:ascii="宋体" w:hAnsi="宋体" w:eastAsia="宋体" w:cs="宋体"/>
                <w:i w:val="0"/>
                <w:iCs w:val="0"/>
                <w:color w:val="000000"/>
                <w:sz w:val="22"/>
                <w:szCs w:val="22"/>
                <w:u w:val="none"/>
              </w:rPr>
            </w:pPr>
          </w:p>
        </w:tc>
        <w:tc>
          <w:tcPr>
            <w:tcW w:w="4989" w:type="dxa"/>
            <w:vMerge w:val="continue"/>
            <w:tcBorders>
              <w:top w:val="single" w:color="000000" w:sz="4" w:space="0"/>
              <w:left w:val="single" w:color="000000" w:sz="4" w:space="0"/>
              <w:bottom w:val="single" w:color="000000" w:sz="4" w:space="0"/>
              <w:right w:val="single" w:color="000000" w:sz="4" w:space="0"/>
            </w:tcBorders>
            <w:shd w:val="clear"/>
            <w:vAlign w:val="center"/>
          </w:tcPr>
          <w:p w14:paraId="34A53E59">
            <w:pPr>
              <w:jc w:val="center"/>
              <w:rPr>
                <w:rFonts w:hint="eastAsia" w:ascii="宋体" w:hAnsi="宋体" w:eastAsia="宋体" w:cs="宋体"/>
                <w:i w:val="0"/>
                <w:iCs w:val="0"/>
                <w:color w:val="000000"/>
                <w:sz w:val="22"/>
                <w:szCs w:val="22"/>
                <w:u w:val="none"/>
              </w:rPr>
            </w:pPr>
          </w:p>
        </w:tc>
      </w:tr>
      <w:tr w14:paraId="4A2F936F">
        <w:trPr>
          <w:trHeight w:val="336" w:hRule="atLeast"/>
        </w:trPr>
        <w:tc>
          <w:tcPr>
            <w:tcW w:w="774" w:type="dxa"/>
            <w:vMerge w:val="continue"/>
            <w:tcBorders>
              <w:top w:val="single" w:color="000000" w:sz="4" w:space="0"/>
              <w:left w:val="single" w:color="000000" w:sz="4" w:space="0"/>
              <w:bottom w:val="single" w:color="000000" w:sz="4" w:space="0"/>
              <w:right w:val="single" w:color="000000" w:sz="4" w:space="0"/>
            </w:tcBorders>
            <w:shd w:val="clear"/>
            <w:vAlign w:val="center"/>
          </w:tcPr>
          <w:p w14:paraId="0DFE1D80">
            <w:pPr>
              <w:jc w:val="center"/>
              <w:rPr>
                <w:rFonts w:hint="default" w:ascii="Times New Roman Regular" w:hAnsi="Times New Roman Regular" w:eastAsia="Times New Roman Regular" w:cs="Times New Roman Regular"/>
                <w:b/>
                <w:bCs/>
                <w:i w:val="0"/>
                <w:iCs w:val="0"/>
                <w:color w:val="000000"/>
                <w:sz w:val="22"/>
                <w:szCs w:val="22"/>
                <w:u w:val="none"/>
              </w:rPr>
            </w:pPr>
          </w:p>
        </w:tc>
        <w:tc>
          <w:tcPr>
            <w:tcW w:w="2596" w:type="dxa"/>
            <w:vMerge w:val="continue"/>
            <w:tcBorders>
              <w:top w:val="single" w:color="000000" w:sz="4" w:space="0"/>
              <w:left w:val="single" w:color="000000" w:sz="4" w:space="0"/>
              <w:bottom w:val="single" w:color="000000" w:sz="4" w:space="0"/>
              <w:right w:val="single" w:color="000000" w:sz="4" w:space="0"/>
            </w:tcBorders>
            <w:shd w:val="clear"/>
            <w:vAlign w:val="center"/>
          </w:tcPr>
          <w:p w14:paraId="12096BA6">
            <w:pPr>
              <w:jc w:val="center"/>
              <w:rPr>
                <w:rFonts w:hint="eastAsia" w:ascii="宋体" w:hAnsi="宋体" w:eastAsia="宋体" w:cs="宋体"/>
                <w:i w:val="0"/>
                <w:iCs w:val="0"/>
                <w:color w:val="000000"/>
                <w:sz w:val="22"/>
                <w:szCs w:val="22"/>
                <w:u w:val="none"/>
              </w:rPr>
            </w:pPr>
          </w:p>
        </w:tc>
        <w:tc>
          <w:tcPr>
            <w:tcW w:w="4989" w:type="dxa"/>
            <w:vMerge w:val="continue"/>
            <w:tcBorders>
              <w:top w:val="single" w:color="000000" w:sz="4" w:space="0"/>
              <w:left w:val="single" w:color="000000" w:sz="4" w:space="0"/>
              <w:bottom w:val="single" w:color="000000" w:sz="4" w:space="0"/>
              <w:right w:val="single" w:color="000000" w:sz="4" w:space="0"/>
            </w:tcBorders>
            <w:shd w:val="clear"/>
            <w:vAlign w:val="center"/>
          </w:tcPr>
          <w:p w14:paraId="44EA96BA">
            <w:pPr>
              <w:jc w:val="center"/>
              <w:rPr>
                <w:rFonts w:hint="eastAsia" w:ascii="宋体" w:hAnsi="宋体" w:eastAsia="宋体" w:cs="宋体"/>
                <w:i w:val="0"/>
                <w:iCs w:val="0"/>
                <w:color w:val="000000"/>
                <w:sz w:val="22"/>
                <w:szCs w:val="22"/>
                <w:u w:val="none"/>
              </w:rPr>
            </w:pPr>
          </w:p>
        </w:tc>
      </w:tr>
      <w:tr w14:paraId="2C80674C">
        <w:trPr>
          <w:trHeight w:val="336" w:hRule="atLeast"/>
        </w:trPr>
        <w:tc>
          <w:tcPr>
            <w:tcW w:w="774" w:type="dxa"/>
            <w:vMerge w:val="continue"/>
            <w:tcBorders>
              <w:top w:val="single" w:color="000000" w:sz="4" w:space="0"/>
              <w:left w:val="single" w:color="000000" w:sz="4" w:space="0"/>
              <w:bottom w:val="single" w:color="000000" w:sz="4" w:space="0"/>
              <w:right w:val="single" w:color="000000" w:sz="4" w:space="0"/>
            </w:tcBorders>
            <w:shd w:val="clear"/>
            <w:vAlign w:val="center"/>
          </w:tcPr>
          <w:p w14:paraId="28CF8DD5">
            <w:pPr>
              <w:jc w:val="center"/>
              <w:rPr>
                <w:rFonts w:hint="default" w:ascii="Times New Roman Regular" w:hAnsi="Times New Roman Regular" w:eastAsia="Times New Roman Regular" w:cs="Times New Roman Regular"/>
                <w:b/>
                <w:bCs/>
                <w:i w:val="0"/>
                <w:iCs w:val="0"/>
                <w:color w:val="000000"/>
                <w:sz w:val="22"/>
                <w:szCs w:val="22"/>
                <w:u w:val="none"/>
              </w:rPr>
            </w:pPr>
          </w:p>
        </w:tc>
        <w:tc>
          <w:tcPr>
            <w:tcW w:w="2596" w:type="dxa"/>
            <w:vMerge w:val="continue"/>
            <w:tcBorders>
              <w:top w:val="single" w:color="000000" w:sz="4" w:space="0"/>
              <w:left w:val="single" w:color="000000" w:sz="4" w:space="0"/>
              <w:bottom w:val="single" w:color="000000" w:sz="4" w:space="0"/>
              <w:right w:val="single" w:color="000000" w:sz="4" w:space="0"/>
            </w:tcBorders>
            <w:shd w:val="clear"/>
            <w:vAlign w:val="center"/>
          </w:tcPr>
          <w:p w14:paraId="0CD36E0C">
            <w:pPr>
              <w:jc w:val="center"/>
              <w:rPr>
                <w:rFonts w:hint="eastAsia" w:ascii="宋体" w:hAnsi="宋体" w:eastAsia="宋体" w:cs="宋体"/>
                <w:i w:val="0"/>
                <w:iCs w:val="0"/>
                <w:color w:val="000000"/>
                <w:sz w:val="22"/>
                <w:szCs w:val="22"/>
                <w:u w:val="none"/>
              </w:rPr>
            </w:pPr>
          </w:p>
        </w:tc>
        <w:tc>
          <w:tcPr>
            <w:tcW w:w="4989" w:type="dxa"/>
            <w:vMerge w:val="continue"/>
            <w:tcBorders>
              <w:top w:val="single" w:color="000000" w:sz="4" w:space="0"/>
              <w:left w:val="single" w:color="000000" w:sz="4" w:space="0"/>
              <w:bottom w:val="single" w:color="000000" w:sz="4" w:space="0"/>
              <w:right w:val="single" w:color="000000" w:sz="4" w:space="0"/>
            </w:tcBorders>
            <w:shd w:val="clear"/>
            <w:vAlign w:val="center"/>
          </w:tcPr>
          <w:p w14:paraId="6228E929">
            <w:pPr>
              <w:jc w:val="center"/>
              <w:rPr>
                <w:rFonts w:hint="eastAsia" w:ascii="宋体" w:hAnsi="宋体" w:eastAsia="宋体" w:cs="宋体"/>
                <w:i w:val="0"/>
                <w:iCs w:val="0"/>
                <w:color w:val="000000"/>
                <w:sz w:val="22"/>
                <w:szCs w:val="22"/>
                <w:u w:val="none"/>
              </w:rPr>
            </w:pPr>
          </w:p>
        </w:tc>
      </w:tr>
      <w:tr w14:paraId="40D4B365">
        <w:trPr>
          <w:trHeight w:val="2360" w:hRule="atLeast"/>
        </w:trPr>
        <w:tc>
          <w:tcPr>
            <w:tcW w:w="774" w:type="dxa"/>
            <w:tcBorders>
              <w:top w:val="single" w:color="000000" w:sz="4" w:space="0"/>
              <w:left w:val="single" w:color="000000" w:sz="4" w:space="0"/>
              <w:bottom w:val="single" w:color="000000" w:sz="4" w:space="0"/>
              <w:right w:val="single" w:color="000000" w:sz="4" w:space="0"/>
            </w:tcBorders>
            <w:shd w:val="clear"/>
            <w:vAlign w:val="center"/>
          </w:tcPr>
          <w:p w14:paraId="1522D21A">
            <w:pPr>
              <w:keepNext w:val="0"/>
              <w:keepLines w:val="0"/>
              <w:widowControl/>
              <w:suppressLineNumbers w:val="0"/>
              <w:jc w:val="center"/>
              <w:textAlignment w:val="center"/>
              <w:rPr>
                <w:rFonts w:hint="default" w:ascii="Times New Roman Regular" w:hAnsi="Times New Roman Regular" w:eastAsia="Times New Roman Regular" w:cs="Times New Roman Regular"/>
                <w:b/>
                <w:bCs/>
                <w:i w:val="0"/>
                <w:iCs w:val="0"/>
                <w:color w:val="000000"/>
                <w:sz w:val="22"/>
                <w:szCs w:val="22"/>
                <w:u w:val="none"/>
              </w:rPr>
            </w:pPr>
            <w:r>
              <w:rPr>
                <w:rFonts w:hint="default" w:ascii="Times New Roman Regular" w:hAnsi="Times New Roman Regular" w:eastAsia="Times New Roman Regular" w:cs="Times New Roman Regular"/>
                <w:b/>
                <w:bCs/>
                <w:i w:val="0"/>
                <w:iCs w:val="0"/>
                <w:color w:val="000000"/>
                <w:kern w:val="0"/>
                <w:sz w:val="22"/>
                <w:szCs w:val="22"/>
                <w:u w:val="none"/>
                <w:bdr w:val="none" w:color="auto" w:sz="0" w:space="0"/>
                <w:lang w:val="en-US" w:eastAsia="zh-CN" w:bidi="ar"/>
              </w:rPr>
              <w:t>2024</w:t>
            </w:r>
          </w:p>
        </w:tc>
        <w:tc>
          <w:tcPr>
            <w:tcW w:w="2596" w:type="dxa"/>
            <w:tcBorders>
              <w:top w:val="single" w:color="000000" w:sz="4" w:space="0"/>
              <w:left w:val="single" w:color="000000" w:sz="4" w:space="0"/>
              <w:bottom w:val="single" w:color="000000" w:sz="4" w:space="0"/>
              <w:right w:val="single" w:color="000000" w:sz="4" w:space="0"/>
            </w:tcBorders>
            <w:shd w:val="clear"/>
            <w:vAlign w:val="center"/>
          </w:tcPr>
          <w:p w14:paraId="2289C46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《优化创新药临床试验审评审批试点工作方案》</w:t>
            </w:r>
          </w:p>
        </w:tc>
        <w:tc>
          <w:tcPr>
            <w:tcW w:w="4989" w:type="dxa"/>
            <w:tcBorders>
              <w:top w:val="single" w:color="000000" w:sz="4" w:space="0"/>
              <w:left w:val="single" w:color="000000" w:sz="4" w:space="0"/>
              <w:bottom w:val="single" w:color="000000" w:sz="4" w:space="0"/>
              <w:right w:val="single" w:color="000000" w:sz="4" w:space="0"/>
            </w:tcBorders>
            <w:shd w:val="clear"/>
            <w:vAlign w:val="center"/>
          </w:tcPr>
          <w:p w14:paraId="7E90DF3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该工作方案旨在优化创新药临床试验审评审批流程，通过简化程序、提高透明度，加快创新药物的临床试验进程，从而提高审批效率，推动创新药物的研发。</w:t>
            </w:r>
            <w:r>
              <w:rPr>
                <w:rFonts w:hint="eastAsia" w:ascii="宋体" w:hAnsi="宋体" w:eastAsia="宋体" w:cs="宋体"/>
                <w:i w:val="0"/>
                <w:iCs w:val="0"/>
                <w:color w:val="000000"/>
                <w:kern w:val="0"/>
                <w:sz w:val="22"/>
                <w:szCs w:val="22"/>
                <w:u w:val="none"/>
                <w:bdr w:val="none" w:color="auto" w:sz="0" w:space="0"/>
                <w:lang w:val="en-US" w:eastAsia="zh-CN" w:bidi="ar"/>
              </w:rPr>
              <w:br w:type="textWrapping"/>
            </w:r>
            <w:r>
              <w:rPr>
                <w:rFonts w:hint="eastAsia" w:ascii="宋体" w:hAnsi="宋体" w:eastAsia="宋体" w:cs="宋体"/>
                <w:i w:val="0"/>
                <w:iCs w:val="0"/>
                <w:color w:val="000000"/>
                <w:kern w:val="0"/>
                <w:sz w:val="22"/>
                <w:szCs w:val="22"/>
                <w:u w:val="none"/>
                <w:bdr w:val="none" w:color="auto" w:sz="0" w:space="0"/>
                <w:lang w:val="en-US" w:eastAsia="zh-CN" w:bidi="ar"/>
              </w:rPr>
              <w:t>缩短启动时间</w:t>
            </w:r>
            <w:r>
              <w:rPr>
                <w:rFonts w:hint="eastAsia" w:ascii="宋体" w:hAnsi="宋体" w:eastAsia="宋体" w:cs="宋体"/>
                <w:i w:val="0"/>
                <w:iCs w:val="0"/>
                <w:color w:val="000000"/>
                <w:kern w:val="0"/>
                <w:sz w:val="22"/>
                <w:szCs w:val="22"/>
                <w:u w:val="none"/>
                <w:bdr w:val="none" w:color="auto" w:sz="0" w:space="0"/>
                <w:lang w:val="en-US" w:eastAsia="zh-CN" w:bidi="ar"/>
              </w:rPr>
              <w:br w:type="textWrapping"/>
            </w:r>
            <w:r>
              <w:rPr>
                <w:rFonts w:hint="eastAsia" w:ascii="宋体" w:hAnsi="宋体" w:eastAsia="宋体" w:cs="宋体"/>
                <w:i w:val="0"/>
                <w:iCs w:val="0"/>
                <w:color w:val="000000"/>
                <w:kern w:val="0"/>
                <w:sz w:val="22"/>
                <w:szCs w:val="22"/>
                <w:u w:val="none"/>
                <w:bdr w:val="none" w:color="auto" w:sz="0" w:space="0"/>
                <w:lang w:val="en-US" w:eastAsia="zh-CN" w:bidi="ar"/>
              </w:rPr>
              <w:t>（实现30个工作日内完成创新药临床试验申请的审评审批）</w:t>
            </w:r>
          </w:p>
        </w:tc>
      </w:tr>
      <w:tr w14:paraId="71EF0195">
        <w:trPr>
          <w:trHeight w:val="1680" w:hRule="atLeast"/>
        </w:trPr>
        <w:tc>
          <w:tcPr>
            <w:tcW w:w="774" w:type="dxa"/>
            <w:tcBorders>
              <w:top w:val="single" w:color="000000" w:sz="4" w:space="0"/>
              <w:left w:val="single" w:color="000000" w:sz="4" w:space="0"/>
              <w:bottom w:val="single" w:color="000000" w:sz="4" w:space="0"/>
              <w:right w:val="single" w:color="000000" w:sz="4" w:space="0"/>
            </w:tcBorders>
            <w:shd w:val="clear"/>
            <w:vAlign w:val="center"/>
          </w:tcPr>
          <w:p w14:paraId="28DD84B7">
            <w:pPr>
              <w:keepNext w:val="0"/>
              <w:keepLines w:val="0"/>
              <w:widowControl/>
              <w:suppressLineNumbers w:val="0"/>
              <w:jc w:val="center"/>
              <w:textAlignment w:val="center"/>
              <w:rPr>
                <w:rFonts w:hint="default" w:ascii="Times New Roman Regular" w:hAnsi="Times New Roman Regular" w:eastAsia="Times New Roman Regular" w:cs="Times New Roman Regular"/>
                <w:b/>
                <w:bCs/>
                <w:i w:val="0"/>
                <w:iCs w:val="0"/>
                <w:color w:val="000000"/>
                <w:sz w:val="22"/>
                <w:szCs w:val="22"/>
                <w:u w:val="none"/>
              </w:rPr>
            </w:pPr>
            <w:r>
              <w:rPr>
                <w:rFonts w:hint="default" w:ascii="Times New Roman Regular" w:hAnsi="Times New Roman Regular" w:eastAsia="Times New Roman Regular" w:cs="Times New Roman Regular"/>
                <w:b/>
                <w:bCs/>
                <w:i w:val="0"/>
                <w:iCs w:val="0"/>
                <w:color w:val="000000"/>
                <w:kern w:val="0"/>
                <w:sz w:val="22"/>
                <w:szCs w:val="22"/>
                <w:u w:val="none"/>
                <w:bdr w:val="none" w:color="auto" w:sz="0" w:space="0"/>
                <w:lang w:val="en-US" w:eastAsia="zh-CN" w:bidi="ar"/>
              </w:rPr>
              <w:t>2024</w:t>
            </w:r>
          </w:p>
        </w:tc>
        <w:tc>
          <w:tcPr>
            <w:tcW w:w="2596" w:type="dxa"/>
            <w:tcBorders>
              <w:top w:val="single" w:color="000000" w:sz="4" w:space="0"/>
              <w:left w:val="single" w:color="000000" w:sz="4" w:space="0"/>
              <w:bottom w:val="single" w:color="000000" w:sz="4" w:space="0"/>
              <w:right w:val="single" w:color="000000" w:sz="4" w:space="0"/>
            </w:tcBorders>
            <w:shd w:val="clear"/>
            <w:vAlign w:val="center"/>
          </w:tcPr>
          <w:p w14:paraId="19576C2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《国家药监局关于同意在北京上海开展优化创新药临床试验审评审批试点的批复》</w:t>
            </w:r>
          </w:p>
        </w:tc>
        <w:tc>
          <w:tcPr>
            <w:tcW w:w="4989" w:type="dxa"/>
            <w:tcBorders>
              <w:top w:val="single" w:color="000000" w:sz="4" w:space="0"/>
              <w:left w:val="single" w:color="000000" w:sz="4" w:space="0"/>
              <w:bottom w:val="single" w:color="000000" w:sz="4" w:space="0"/>
              <w:right w:val="single" w:color="000000" w:sz="4" w:space="0"/>
            </w:tcBorders>
            <w:shd w:val="clear"/>
            <w:vAlign w:val="center"/>
          </w:tcPr>
          <w:p w14:paraId="0B0DFE0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该批复同意在北京、上海开展优化创新药临床试验审评审批试点工作，旨在通过局部试点探索经验，进一步优化全国范围内的创新药审评审批流程，以促进药品创新和产业发展。</w:t>
            </w:r>
          </w:p>
        </w:tc>
      </w:tr>
      <w:tr w14:paraId="515A5E48">
        <w:trPr>
          <w:trHeight w:val="680" w:hRule="atLeast"/>
        </w:trPr>
        <w:tc>
          <w:tcPr>
            <w:tcW w:w="774" w:type="dxa"/>
            <w:tcBorders>
              <w:top w:val="single" w:color="000000" w:sz="4" w:space="0"/>
              <w:left w:val="single" w:color="000000" w:sz="4" w:space="0"/>
              <w:bottom w:val="single" w:color="000000" w:sz="4" w:space="0"/>
              <w:right w:val="single" w:color="000000" w:sz="4" w:space="0"/>
            </w:tcBorders>
            <w:shd w:val="clear"/>
            <w:vAlign w:val="center"/>
          </w:tcPr>
          <w:p w14:paraId="1B49C9D7">
            <w:pPr>
              <w:keepNext w:val="0"/>
              <w:keepLines w:val="0"/>
              <w:widowControl/>
              <w:suppressLineNumbers w:val="0"/>
              <w:jc w:val="center"/>
              <w:textAlignment w:val="center"/>
              <w:rPr>
                <w:rFonts w:ascii="Times New Roman Bold" w:hAnsi="Times New Roman Bold" w:eastAsia="Times New Roman Bold" w:cs="Times New Roman Bold"/>
                <w:b/>
                <w:bCs/>
                <w:i w:val="0"/>
                <w:iCs w:val="0"/>
                <w:color w:val="000000"/>
                <w:sz w:val="22"/>
                <w:szCs w:val="22"/>
                <w:u w:val="none"/>
              </w:rPr>
            </w:pPr>
            <w:r>
              <w:rPr>
                <w:rFonts w:hint="default" w:ascii="Times New Roman Bold" w:hAnsi="Times New Roman Bold" w:eastAsia="Times New Roman Bold" w:cs="Times New Roman Bold"/>
                <w:b/>
                <w:bCs/>
                <w:i w:val="0"/>
                <w:iCs w:val="0"/>
                <w:color w:val="000000"/>
                <w:kern w:val="0"/>
                <w:sz w:val="22"/>
                <w:szCs w:val="22"/>
                <w:u w:val="none"/>
                <w:bdr w:val="none" w:color="auto" w:sz="0" w:space="0"/>
                <w:lang w:val="en-US" w:eastAsia="zh-CN" w:bidi="ar"/>
              </w:rPr>
              <w:t>2024</w:t>
            </w:r>
          </w:p>
        </w:tc>
        <w:tc>
          <w:tcPr>
            <w:tcW w:w="2596" w:type="dxa"/>
            <w:tcBorders>
              <w:top w:val="single" w:color="000000" w:sz="4" w:space="0"/>
              <w:left w:val="single" w:color="000000" w:sz="4" w:space="0"/>
              <w:bottom w:val="single" w:color="000000" w:sz="4" w:space="0"/>
              <w:right w:val="single" w:color="000000" w:sz="4" w:space="0"/>
            </w:tcBorders>
            <w:shd w:val="clear"/>
            <w:vAlign w:val="center"/>
          </w:tcPr>
          <w:p w14:paraId="4B18617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《建立新上市化学药品首发价格形成机制，鼓励高质量创新的通知》征求意见稿</w:t>
            </w:r>
          </w:p>
        </w:tc>
        <w:tc>
          <w:tcPr>
            <w:tcW w:w="4989" w:type="dxa"/>
            <w:tcBorders>
              <w:top w:val="single" w:color="000000" w:sz="4" w:space="0"/>
              <w:left w:val="single" w:color="000000" w:sz="4" w:space="0"/>
              <w:bottom w:val="single" w:color="000000" w:sz="4" w:space="0"/>
              <w:right w:val="single" w:color="000000" w:sz="4" w:space="0"/>
            </w:tcBorders>
            <w:shd w:val="clear"/>
            <w:vAlign w:val="center"/>
          </w:tcPr>
          <w:p w14:paraId="33A9DFF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针对高水平创新药给出一定企业自主定价空间。</w:t>
            </w:r>
          </w:p>
        </w:tc>
      </w:tr>
      <w:tr w14:paraId="5C3F9C4F">
        <w:trPr>
          <w:trHeight w:val="336" w:hRule="atLeast"/>
        </w:trPr>
        <w:tc>
          <w:tcPr>
            <w:tcW w:w="774" w:type="dxa"/>
            <w:vMerge w:val="restart"/>
            <w:tcBorders>
              <w:top w:val="single" w:color="000000" w:sz="4" w:space="0"/>
              <w:left w:val="single" w:color="000000" w:sz="4" w:space="0"/>
              <w:bottom w:val="single" w:color="000000" w:sz="4" w:space="0"/>
              <w:right w:val="single" w:color="000000" w:sz="4" w:space="0"/>
            </w:tcBorders>
            <w:shd w:val="clear"/>
            <w:vAlign w:val="center"/>
          </w:tcPr>
          <w:p w14:paraId="13C99A7E">
            <w:pPr>
              <w:keepNext w:val="0"/>
              <w:keepLines w:val="0"/>
              <w:widowControl/>
              <w:suppressLineNumbers w:val="0"/>
              <w:jc w:val="center"/>
              <w:textAlignment w:val="center"/>
              <w:rPr>
                <w:rFonts w:hint="default" w:ascii="Times New Roman Bold" w:hAnsi="Times New Roman Bold" w:eastAsia="Times New Roman Bold" w:cs="Times New Roman Bold"/>
                <w:b/>
                <w:bCs/>
                <w:i w:val="0"/>
                <w:iCs w:val="0"/>
                <w:color w:val="000000"/>
                <w:sz w:val="22"/>
                <w:szCs w:val="22"/>
                <w:u w:val="none"/>
              </w:rPr>
            </w:pPr>
            <w:r>
              <w:rPr>
                <w:rFonts w:hint="default" w:ascii="Times New Roman Bold" w:hAnsi="Times New Roman Bold" w:eastAsia="Times New Roman Bold" w:cs="Times New Roman Bold"/>
                <w:b/>
                <w:bCs/>
                <w:i w:val="0"/>
                <w:iCs w:val="0"/>
                <w:color w:val="000000"/>
                <w:kern w:val="0"/>
                <w:sz w:val="22"/>
                <w:szCs w:val="22"/>
                <w:u w:val="none"/>
                <w:bdr w:val="none" w:color="auto" w:sz="0" w:space="0"/>
                <w:lang w:val="en-US" w:eastAsia="zh-CN" w:bidi="ar"/>
              </w:rPr>
              <w:t>2024</w:t>
            </w:r>
          </w:p>
        </w:tc>
        <w:tc>
          <w:tcPr>
            <w:tcW w:w="2596" w:type="dxa"/>
            <w:vMerge w:val="restart"/>
            <w:tcBorders>
              <w:top w:val="single" w:color="000000" w:sz="4" w:space="0"/>
              <w:left w:val="single" w:color="000000" w:sz="4" w:space="0"/>
              <w:bottom w:val="single" w:color="000000" w:sz="4" w:space="0"/>
              <w:right w:val="single" w:color="000000" w:sz="4" w:space="0"/>
            </w:tcBorders>
            <w:shd w:val="clear"/>
            <w:vAlign w:val="center"/>
          </w:tcPr>
          <w:p w14:paraId="41C8E56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《政府工作报告》</w:t>
            </w:r>
          </w:p>
        </w:tc>
        <w:tc>
          <w:tcPr>
            <w:tcW w:w="4989" w:type="dxa"/>
            <w:vMerge w:val="restart"/>
            <w:tcBorders>
              <w:top w:val="single" w:color="000000" w:sz="4" w:space="0"/>
              <w:left w:val="single" w:color="000000" w:sz="4" w:space="0"/>
              <w:bottom w:val="single" w:color="000000" w:sz="4" w:space="0"/>
              <w:right w:val="single" w:color="000000" w:sz="4" w:space="0"/>
            </w:tcBorders>
            <w:shd w:val="clear"/>
            <w:vAlign w:val="center"/>
          </w:tcPr>
          <w:p w14:paraId="47C7278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首次提及</w:t>
            </w:r>
            <w:r>
              <w:rPr>
                <w:rFonts w:hint="default" w:ascii="Times New Roman Regular" w:hAnsi="Times New Roman Regular" w:eastAsia="Times New Roman Regular" w:cs="Times New Roman Regular"/>
                <w:i w:val="0"/>
                <w:iCs w:val="0"/>
                <w:color w:val="000000"/>
                <w:kern w:val="0"/>
                <w:sz w:val="22"/>
                <w:szCs w:val="22"/>
                <w:u w:val="none"/>
                <w:bdr w:val="none" w:color="auto" w:sz="0" w:space="0"/>
                <w:lang w:val="en-US" w:eastAsia="zh-CN" w:bidi="ar"/>
              </w:rPr>
              <w:t>“</w:t>
            </w:r>
            <w:r>
              <w:rPr>
                <w:rFonts w:hint="eastAsia" w:ascii="宋体" w:hAnsi="宋体" w:eastAsia="宋体" w:cs="宋体"/>
                <w:i w:val="0"/>
                <w:iCs w:val="0"/>
                <w:color w:val="000000"/>
                <w:kern w:val="0"/>
                <w:sz w:val="22"/>
                <w:szCs w:val="22"/>
                <w:u w:val="none"/>
                <w:bdr w:val="none" w:color="auto" w:sz="0" w:space="0"/>
                <w:lang w:val="en-US" w:eastAsia="zh-CN" w:bidi="ar"/>
              </w:rPr>
              <w:t>创新药</w:t>
            </w:r>
            <w:r>
              <w:rPr>
                <w:rFonts w:hint="default" w:ascii="Times New Roman Regular" w:hAnsi="Times New Roman Regular" w:eastAsia="Times New Roman Regular" w:cs="Times New Roman Regular"/>
                <w:i w:val="0"/>
                <w:iCs w:val="0"/>
                <w:color w:val="000000"/>
                <w:kern w:val="0"/>
                <w:sz w:val="22"/>
                <w:szCs w:val="22"/>
                <w:u w:val="none"/>
                <w:bdr w:val="none" w:color="auto" w:sz="0" w:space="0"/>
                <w:lang w:val="en-US" w:eastAsia="zh-CN" w:bidi="ar"/>
              </w:rPr>
              <w:t>”——</w:t>
            </w:r>
            <w:r>
              <w:rPr>
                <w:rFonts w:hint="eastAsia" w:ascii="宋体" w:hAnsi="宋体" w:eastAsia="宋体" w:cs="宋体"/>
                <w:i w:val="0"/>
                <w:iCs w:val="0"/>
                <w:color w:val="000000"/>
                <w:kern w:val="0"/>
                <w:sz w:val="22"/>
                <w:szCs w:val="22"/>
                <w:u w:val="none"/>
                <w:bdr w:val="none" w:color="auto" w:sz="0" w:space="0"/>
                <w:lang w:val="en-US" w:eastAsia="zh-CN" w:bidi="ar"/>
              </w:rPr>
              <w:t>积极培育新兴产业和未来产业。加快前沿新兴氢能、新材料、创新药等产业发展，积极打造生物制造、商业航天、低空经济等新增长引擎。制定未来产业发展规划，开辟量子技术、生命科学等新赛道，创建一批未来产业先导区。</w:t>
            </w:r>
          </w:p>
        </w:tc>
      </w:tr>
      <w:tr w14:paraId="65F32E29">
        <w:trPr>
          <w:trHeight w:val="336" w:hRule="atLeast"/>
        </w:trPr>
        <w:tc>
          <w:tcPr>
            <w:tcW w:w="774" w:type="dxa"/>
            <w:vMerge w:val="continue"/>
            <w:tcBorders>
              <w:top w:val="single" w:color="000000" w:sz="4" w:space="0"/>
              <w:left w:val="single" w:color="000000" w:sz="4" w:space="0"/>
              <w:bottom w:val="single" w:color="000000" w:sz="4" w:space="0"/>
              <w:right w:val="single" w:color="000000" w:sz="4" w:space="0"/>
            </w:tcBorders>
            <w:shd w:val="clear"/>
            <w:vAlign w:val="center"/>
          </w:tcPr>
          <w:p w14:paraId="75D602C6">
            <w:pPr>
              <w:jc w:val="center"/>
              <w:rPr>
                <w:rFonts w:hint="default" w:ascii="Times New Roman Bold" w:hAnsi="Times New Roman Bold" w:eastAsia="Times New Roman Bold" w:cs="Times New Roman Bold"/>
                <w:b/>
                <w:bCs/>
                <w:i w:val="0"/>
                <w:iCs w:val="0"/>
                <w:color w:val="000000"/>
                <w:sz w:val="22"/>
                <w:szCs w:val="22"/>
                <w:u w:val="none"/>
              </w:rPr>
            </w:pPr>
          </w:p>
        </w:tc>
        <w:tc>
          <w:tcPr>
            <w:tcW w:w="2596" w:type="dxa"/>
            <w:vMerge w:val="continue"/>
            <w:tcBorders>
              <w:top w:val="single" w:color="000000" w:sz="4" w:space="0"/>
              <w:left w:val="single" w:color="000000" w:sz="4" w:space="0"/>
              <w:bottom w:val="single" w:color="000000" w:sz="4" w:space="0"/>
              <w:right w:val="single" w:color="000000" w:sz="4" w:space="0"/>
            </w:tcBorders>
            <w:shd w:val="clear"/>
            <w:vAlign w:val="center"/>
          </w:tcPr>
          <w:p w14:paraId="65D3EC02">
            <w:pPr>
              <w:jc w:val="center"/>
              <w:rPr>
                <w:rFonts w:hint="eastAsia" w:ascii="宋体" w:hAnsi="宋体" w:eastAsia="宋体" w:cs="宋体"/>
                <w:i w:val="0"/>
                <w:iCs w:val="0"/>
                <w:color w:val="000000"/>
                <w:sz w:val="22"/>
                <w:szCs w:val="22"/>
                <w:u w:val="none"/>
              </w:rPr>
            </w:pPr>
          </w:p>
        </w:tc>
        <w:tc>
          <w:tcPr>
            <w:tcW w:w="4989" w:type="dxa"/>
            <w:vMerge w:val="continue"/>
            <w:tcBorders>
              <w:top w:val="single" w:color="000000" w:sz="4" w:space="0"/>
              <w:left w:val="single" w:color="000000" w:sz="4" w:space="0"/>
              <w:bottom w:val="single" w:color="000000" w:sz="4" w:space="0"/>
              <w:right w:val="single" w:color="000000" w:sz="4" w:space="0"/>
            </w:tcBorders>
            <w:shd w:val="clear"/>
            <w:vAlign w:val="center"/>
          </w:tcPr>
          <w:p w14:paraId="0E7F3F56">
            <w:pPr>
              <w:jc w:val="center"/>
              <w:rPr>
                <w:rFonts w:hint="eastAsia" w:ascii="宋体" w:hAnsi="宋体" w:eastAsia="宋体" w:cs="宋体"/>
                <w:i w:val="0"/>
                <w:iCs w:val="0"/>
                <w:color w:val="000000"/>
                <w:sz w:val="22"/>
                <w:szCs w:val="22"/>
                <w:u w:val="none"/>
              </w:rPr>
            </w:pPr>
          </w:p>
        </w:tc>
      </w:tr>
      <w:tr w14:paraId="647EB59D">
        <w:trPr>
          <w:trHeight w:val="336" w:hRule="atLeast"/>
        </w:trPr>
        <w:tc>
          <w:tcPr>
            <w:tcW w:w="774" w:type="dxa"/>
            <w:vMerge w:val="restart"/>
            <w:tcBorders>
              <w:top w:val="single" w:color="000000" w:sz="4" w:space="0"/>
              <w:left w:val="single" w:color="000000" w:sz="4" w:space="0"/>
              <w:bottom w:val="single" w:color="000000" w:sz="4" w:space="0"/>
              <w:right w:val="single" w:color="000000" w:sz="4" w:space="0"/>
            </w:tcBorders>
            <w:shd w:val="clear"/>
            <w:vAlign w:val="center"/>
          </w:tcPr>
          <w:p w14:paraId="6BF8345E">
            <w:pPr>
              <w:keepNext w:val="0"/>
              <w:keepLines w:val="0"/>
              <w:widowControl/>
              <w:suppressLineNumbers w:val="0"/>
              <w:jc w:val="center"/>
              <w:textAlignment w:val="center"/>
              <w:rPr>
                <w:rFonts w:hint="default" w:ascii="Times New Roman Bold" w:hAnsi="Times New Roman Bold" w:eastAsia="Times New Roman Bold" w:cs="Times New Roman Bold"/>
                <w:b/>
                <w:bCs/>
                <w:i w:val="0"/>
                <w:iCs w:val="0"/>
                <w:color w:val="000000"/>
                <w:sz w:val="22"/>
                <w:szCs w:val="22"/>
                <w:u w:val="none"/>
              </w:rPr>
            </w:pPr>
            <w:r>
              <w:rPr>
                <w:rFonts w:hint="default" w:ascii="Times New Roman Bold" w:hAnsi="Times New Roman Bold" w:eastAsia="Times New Roman Bold" w:cs="Times New Roman Bold"/>
                <w:b/>
                <w:bCs/>
                <w:i w:val="0"/>
                <w:iCs w:val="0"/>
                <w:color w:val="000000"/>
                <w:kern w:val="0"/>
                <w:sz w:val="22"/>
                <w:szCs w:val="22"/>
                <w:u w:val="none"/>
                <w:bdr w:val="none" w:color="auto" w:sz="0" w:space="0"/>
                <w:lang w:val="en-US" w:eastAsia="zh-CN" w:bidi="ar"/>
              </w:rPr>
              <w:t>2024</w:t>
            </w:r>
          </w:p>
        </w:tc>
        <w:tc>
          <w:tcPr>
            <w:tcW w:w="2596" w:type="dxa"/>
            <w:vMerge w:val="restart"/>
            <w:tcBorders>
              <w:top w:val="single" w:color="000000" w:sz="4" w:space="0"/>
              <w:left w:val="single" w:color="000000" w:sz="4" w:space="0"/>
              <w:bottom w:val="single" w:color="000000" w:sz="4" w:space="0"/>
              <w:right w:val="single" w:color="000000" w:sz="4" w:space="0"/>
            </w:tcBorders>
            <w:shd w:val="clear"/>
            <w:vAlign w:val="center"/>
          </w:tcPr>
          <w:p w14:paraId="41ED767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《深化医药卫生体制改革</w:t>
            </w:r>
            <w:r>
              <w:rPr>
                <w:rFonts w:hint="default" w:ascii="Times New Roman Regular" w:hAnsi="Times New Roman Regular" w:eastAsia="Times New Roman Regular" w:cs="Times New Roman Regular"/>
                <w:i w:val="0"/>
                <w:iCs w:val="0"/>
                <w:color w:val="000000"/>
                <w:kern w:val="0"/>
                <w:sz w:val="22"/>
                <w:szCs w:val="22"/>
                <w:u w:val="none"/>
                <w:bdr w:val="none" w:color="auto" w:sz="0" w:space="0"/>
                <w:lang w:val="en-US" w:eastAsia="zh-CN" w:bidi="ar"/>
              </w:rPr>
              <w:t>2024</w:t>
            </w:r>
            <w:r>
              <w:rPr>
                <w:rFonts w:hint="eastAsia" w:ascii="宋体" w:hAnsi="宋体" w:eastAsia="宋体" w:cs="宋体"/>
                <w:i w:val="0"/>
                <w:iCs w:val="0"/>
                <w:color w:val="000000"/>
                <w:kern w:val="0"/>
                <w:sz w:val="22"/>
                <w:szCs w:val="22"/>
                <w:u w:val="none"/>
                <w:bdr w:val="none" w:color="auto" w:sz="0" w:space="0"/>
                <w:lang w:val="en-US" w:eastAsia="zh-CN" w:bidi="ar"/>
              </w:rPr>
              <w:t>年重点工作任务》</w:t>
            </w:r>
          </w:p>
        </w:tc>
        <w:tc>
          <w:tcPr>
            <w:tcW w:w="4989" w:type="dxa"/>
            <w:vMerge w:val="restart"/>
            <w:tcBorders>
              <w:top w:val="single" w:color="000000" w:sz="4" w:space="0"/>
              <w:left w:val="single" w:color="000000" w:sz="4" w:space="0"/>
              <w:bottom w:val="single" w:color="000000" w:sz="4" w:space="0"/>
              <w:right w:val="single" w:color="000000" w:sz="4" w:space="0"/>
            </w:tcBorders>
            <w:shd w:val="clear"/>
            <w:vAlign w:val="center"/>
          </w:tcPr>
          <w:p w14:paraId="775E625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在“深化医保支付方式改革”部分提出，研究对创新药和先进医疗技术应用给予在</w:t>
            </w:r>
            <w:r>
              <w:rPr>
                <w:rFonts w:hint="default" w:ascii="Times New Roman Regular" w:hAnsi="Times New Roman Regular" w:eastAsia="Times New Roman Regular" w:cs="Times New Roman Regular"/>
                <w:i w:val="0"/>
                <w:iCs w:val="0"/>
                <w:color w:val="000000"/>
                <w:kern w:val="0"/>
                <w:sz w:val="22"/>
                <w:szCs w:val="22"/>
                <w:u w:val="none"/>
                <w:bdr w:val="none" w:color="auto" w:sz="0" w:space="0"/>
                <w:lang w:val="en-US" w:eastAsia="zh-CN" w:bidi="ar"/>
              </w:rPr>
              <w:t>DRG/DIP</w:t>
            </w:r>
            <w:r>
              <w:rPr>
                <w:rFonts w:hint="eastAsia" w:ascii="宋体" w:hAnsi="宋体" w:eastAsia="宋体" w:cs="宋体"/>
                <w:i w:val="0"/>
                <w:iCs w:val="0"/>
                <w:color w:val="000000"/>
                <w:kern w:val="0"/>
                <w:sz w:val="22"/>
                <w:szCs w:val="22"/>
                <w:u w:val="none"/>
                <w:bdr w:val="none" w:color="auto" w:sz="0" w:space="0"/>
                <w:lang w:val="en-US" w:eastAsia="zh-CN" w:bidi="ar"/>
              </w:rPr>
              <w:t>付费中除外支付等政策倾斜；在“发展商业健康保险”部分提出，推动商业健康保险产品扩大创新药支付范围；在“完善药品使用和管理”部分提出，加大创新药临床综合评价力度，促进新药加快合理应用；在“深化药品审评审批制度改革”部分提出，制定关于全链条支持创新药发展的指导性文件。加快创新药、罕见病治疗药品、临床急需药品等以及创新医疗器械、疫情防控药械审评审批。</w:t>
            </w:r>
          </w:p>
        </w:tc>
      </w:tr>
      <w:tr w14:paraId="3A3D3326">
        <w:trPr>
          <w:trHeight w:val="336" w:hRule="atLeast"/>
        </w:trPr>
        <w:tc>
          <w:tcPr>
            <w:tcW w:w="774" w:type="dxa"/>
            <w:vMerge w:val="continue"/>
            <w:tcBorders>
              <w:top w:val="single" w:color="000000" w:sz="4" w:space="0"/>
              <w:left w:val="single" w:color="000000" w:sz="4" w:space="0"/>
              <w:bottom w:val="single" w:color="000000" w:sz="4" w:space="0"/>
              <w:right w:val="single" w:color="000000" w:sz="4" w:space="0"/>
            </w:tcBorders>
            <w:shd w:val="clear"/>
            <w:vAlign w:val="center"/>
          </w:tcPr>
          <w:p w14:paraId="79F3C985">
            <w:pPr>
              <w:jc w:val="center"/>
              <w:rPr>
                <w:rFonts w:hint="default" w:ascii="Times New Roman Bold" w:hAnsi="Times New Roman Bold" w:eastAsia="Times New Roman Bold" w:cs="Times New Roman Bold"/>
                <w:b/>
                <w:bCs/>
                <w:i w:val="0"/>
                <w:iCs w:val="0"/>
                <w:color w:val="000000"/>
                <w:sz w:val="22"/>
                <w:szCs w:val="22"/>
                <w:u w:val="none"/>
              </w:rPr>
            </w:pPr>
          </w:p>
        </w:tc>
        <w:tc>
          <w:tcPr>
            <w:tcW w:w="2596" w:type="dxa"/>
            <w:vMerge w:val="continue"/>
            <w:tcBorders>
              <w:top w:val="single" w:color="000000" w:sz="4" w:space="0"/>
              <w:left w:val="single" w:color="000000" w:sz="4" w:space="0"/>
              <w:bottom w:val="single" w:color="000000" w:sz="4" w:space="0"/>
              <w:right w:val="single" w:color="000000" w:sz="4" w:space="0"/>
            </w:tcBorders>
            <w:shd w:val="clear"/>
            <w:vAlign w:val="center"/>
          </w:tcPr>
          <w:p w14:paraId="369CE8C4">
            <w:pPr>
              <w:jc w:val="center"/>
              <w:rPr>
                <w:rFonts w:hint="eastAsia" w:ascii="宋体" w:hAnsi="宋体" w:eastAsia="宋体" w:cs="宋体"/>
                <w:i w:val="0"/>
                <w:iCs w:val="0"/>
                <w:color w:val="000000"/>
                <w:sz w:val="22"/>
                <w:szCs w:val="22"/>
                <w:u w:val="none"/>
              </w:rPr>
            </w:pPr>
          </w:p>
        </w:tc>
        <w:tc>
          <w:tcPr>
            <w:tcW w:w="4989" w:type="dxa"/>
            <w:vMerge w:val="continue"/>
            <w:tcBorders>
              <w:top w:val="single" w:color="000000" w:sz="4" w:space="0"/>
              <w:left w:val="single" w:color="000000" w:sz="4" w:space="0"/>
              <w:bottom w:val="single" w:color="000000" w:sz="4" w:space="0"/>
              <w:right w:val="single" w:color="000000" w:sz="4" w:space="0"/>
            </w:tcBorders>
            <w:shd w:val="clear"/>
            <w:vAlign w:val="center"/>
          </w:tcPr>
          <w:p w14:paraId="7FB105CC">
            <w:pPr>
              <w:jc w:val="center"/>
              <w:rPr>
                <w:rFonts w:hint="eastAsia" w:ascii="宋体" w:hAnsi="宋体" w:eastAsia="宋体" w:cs="宋体"/>
                <w:i w:val="0"/>
                <w:iCs w:val="0"/>
                <w:color w:val="000000"/>
                <w:sz w:val="22"/>
                <w:szCs w:val="22"/>
                <w:u w:val="none"/>
              </w:rPr>
            </w:pPr>
          </w:p>
        </w:tc>
      </w:tr>
      <w:tr w14:paraId="37383D25">
        <w:trPr>
          <w:trHeight w:val="336" w:hRule="atLeast"/>
        </w:trPr>
        <w:tc>
          <w:tcPr>
            <w:tcW w:w="774" w:type="dxa"/>
            <w:vMerge w:val="restart"/>
            <w:tcBorders>
              <w:top w:val="single" w:color="000000" w:sz="4" w:space="0"/>
              <w:left w:val="single" w:color="000000" w:sz="4" w:space="0"/>
              <w:bottom w:val="single" w:color="000000" w:sz="4" w:space="0"/>
              <w:right w:val="single" w:color="000000" w:sz="4" w:space="0"/>
            </w:tcBorders>
            <w:shd w:val="clear"/>
            <w:vAlign w:val="center"/>
          </w:tcPr>
          <w:p w14:paraId="0917456B">
            <w:pPr>
              <w:keepNext w:val="0"/>
              <w:keepLines w:val="0"/>
              <w:widowControl/>
              <w:suppressLineNumbers w:val="0"/>
              <w:jc w:val="center"/>
              <w:textAlignment w:val="center"/>
              <w:rPr>
                <w:rFonts w:hint="default" w:ascii="Times New Roman Bold" w:hAnsi="Times New Roman Bold" w:eastAsia="Times New Roman Bold" w:cs="Times New Roman Bold"/>
                <w:b/>
                <w:bCs/>
                <w:i w:val="0"/>
                <w:iCs w:val="0"/>
                <w:color w:val="000000"/>
                <w:sz w:val="22"/>
                <w:szCs w:val="22"/>
                <w:u w:val="none"/>
              </w:rPr>
            </w:pPr>
            <w:r>
              <w:rPr>
                <w:rFonts w:hint="default" w:ascii="Times New Roman Bold" w:hAnsi="Times New Roman Bold" w:eastAsia="Times New Roman Bold" w:cs="Times New Roman Bold"/>
                <w:b/>
                <w:bCs/>
                <w:i w:val="0"/>
                <w:iCs w:val="0"/>
                <w:color w:val="000000"/>
                <w:kern w:val="0"/>
                <w:sz w:val="22"/>
                <w:szCs w:val="22"/>
                <w:u w:val="none"/>
                <w:bdr w:val="none" w:color="auto" w:sz="0" w:space="0"/>
                <w:lang w:val="en-US" w:eastAsia="zh-CN" w:bidi="ar"/>
              </w:rPr>
              <w:t>2024</w:t>
            </w:r>
          </w:p>
        </w:tc>
        <w:tc>
          <w:tcPr>
            <w:tcW w:w="2596" w:type="dxa"/>
            <w:vMerge w:val="restart"/>
            <w:tcBorders>
              <w:top w:val="single" w:color="000000" w:sz="4" w:space="0"/>
              <w:left w:val="single" w:color="000000" w:sz="4" w:space="0"/>
              <w:bottom w:val="single" w:color="000000" w:sz="4" w:space="0"/>
              <w:right w:val="single" w:color="000000" w:sz="4" w:space="0"/>
            </w:tcBorders>
            <w:shd w:val="clear"/>
            <w:vAlign w:val="center"/>
          </w:tcPr>
          <w:p w14:paraId="170F19E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《中共中央关于进一步全面深化改革</w:t>
            </w:r>
            <w:r>
              <w:rPr>
                <w:rFonts w:hint="default" w:ascii="Times New Roman Regular" w:hAnsi="Times New Roman Regular" w:eastAsia="Times New Roman Regular" w:cs="Times New Roman Regular"/>
                <w:i w:val="0"/>
                <w:iCs w:val="0"/>
                <w:color w:val="000000"/>
                <w:kern w:val="0"/>
                <w:sz w:val="22"/>
                <w:szCs w:val="22"/>
                <w:u w:val="none"/>
                <w:bdr w:val="none" w:color="auto" w:sz="0" w:space="0"/>
                <w:lang w:val="en-US" w:eastAsia="zh-CN" w:bidi="ar"/>
              </w:rPr>
              <w:t> </w:t>
            </w:r>
            <w:r>
              <w:rPr>
                <w:rFonts w:hint="eastAsia" w:ascii="宋体" w:hAnsi="宋体" w:eastAsia="宋体" w:cs="宋体"/>
                <w:i w:val="0"/>
                <w:iCs w:val="0"/>
                <w:color w:val="000000"/>
                <w:kern w:val="0"/>
                <w:sz w:val="22"/>
                <w:szCs w:val="22"/>
                <w:u w:val="none"/>
                <w:bdr w:val="none" w:color="auto" w:sz="0" w:space="0"/>
                <w:lang w:val="en-US" w:eastAsia="zh-CN" w:bidi="ar"/>
              </w:rPr>
              <w:t>推进中国式现代化的决定》</w:t>
            </w:r>
          </w:p>
        </w:tc>
        <w:tc>
          <w:tcPr>
            <w:tcW w:w="4989" w:type="dxa"/>
            <w:vMerge w:val="restart"/>
            <w:tcBorders>
              <w:top w:val="single" w:color="000000" w:sz="4" w:space="0"/>
              <w:left w:val="single" w:color="000000" w:sz="4" w:space="0"/>
              <w:bottom w:val="single" w:color="000000" w:sz="4" w:space="0"/>
              <w:right w:val="single" w:color="000000" w:sz="4" w:space="0"/>
            </w:tcBorders>
            <w:shd w:val="clear"/>
            <w:vAlign w:val="center"/>
          </w:tcPr>
          <w:p w14:paraId="0FBE4C0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提出健全支持创新药和医疗器械发展机制，完善中医药传承创新发展机制。</w:t>
            </w:r>
          </w:p>
        </w:tc>
      </w:tr>
      <w:tr w14:paraId="3F38C83A">
        <w:trPr>
          <w:trHeight w:val="336" w:hRule="atLeast"/>
        </w:trPr>
        <w:tc>
          <w:tcPr>
            <w:tcW w:w="774" w:type="dxa"/>
            <w:vMerge w:val="continue"/>
            <w:tcBorders>
              <w:top w:val="single" w:color="000000" w:sz="4" w:space="0"/>
              <w:left w:val="single" w:color="000000" w:sz="4" w:space="0"/>
              <w:bottom w:val="single" w:color="000000" w:sz="4" w:space="0"/>
              <w:right w:val="single" w:color="000000" w:sz="4" w:space="0"/>
            </w:tcBorders>
            <w:shd w:val="clear"/>
            <w:vAlign w:val="center"/>
          </w:tcPr>
          <w:p w14:paraId="62902F3B">
            <w:pPr>
              <w:jc w:val="center"/>
              <w:rPr>
                <w:rFonts w:hint="default" w:ascii="Times New Roman Bold" w:hAnsi="Times New Roman Bold" w:eastAsia="Times New Roman Bold" w:cs="Times New Roman Bold"/>
                <w:b/>
                <w:bCs/>
                <w:i w:val="0"/>
                <w:iCs w:val="0"/>
                <w:color w:val="000000"/>
                <w:sz w:val="22"/>
                <w:szCs w:val="22"/>
                <w:u w:val="none"/>
              </w:rPr>
            </w:pPr>
          </w:p>
        </w:tc>
        <w:tc>
          <w:tcPr>
            <w:tcW w:w="2596" w:type="dxa"/>
            <w:vMerge w:val="continue"/>
            <w:tcBorders>
              <w:top w:val="single" w:color="000000" w:sz="4" w:space="0"/>
              <w:left w:val="single" w:color="000000" w:sz="4" w:space="0"/>
              <w:bottom w:val="single" w:color="000000" w:sz="4" w:space="0"/>
              <w:right w:val="single" w:color="000000" w:sz="4" w:space="0"/>
            </w:tcBorders>
            <w:shd w:val="clear"/>
            <w:vAlign w:val="center"/>
          </w:tcPr>
          <w:p w14:paraId="3B872897">
            <w:pPr>
              <w:jc w:val="center"/>
              <w:rPr>
                <w:rFonts w:hint="eastAsia" w:ascii="宋体" w:hAnsi="宋体" w:eastAsia="宋体" w:cs="宋体"/>
                <w:i w:val="0"/>
                <w:iCs w:val="0"/>
                <w:color w:val="000000"/>
                <w:sz w:val="22"/>
                <w:szCs w:val="22"/>
                <w:u w:val="none"/>
              </w:rPr>
            </w:pPr>
          </w:p>
        </w:tc>
        <w:tc>
          <w:tcPr>
            <w:tcW w:w="4989" w:type="dxa"/>
            <w:vMerge w:val="continue"/>
            <w:tcBorders>
              <w:top w:val="single" w:color="000000" w:sz="4" w:space="0"/>
              <w:left w:val="single" w:color="000000" w:sz="4" w:space="0"/>
              <w:bottom w:val="single" w:color="000000" w:sz="4" w:space="0"/>
              <w:right w:val="single" w:color="000000" w:sz="4" w:space="0"/>
            </w:tcBorders>
            <w:shd w:val="clear"/>
            <w:vAlign w:val="center"/>
          </w:tcPr>
          <w:p w14:paraId="6176DD94">
            <w:pPr>
              <w:jc w:val="center"/>
              <w:rPr>
                <w:rFonts w:hint="eastAsia" w:ascii="宋体" w:hAnsi="宋体" w:eastAsia="宋体" w:cs="宋体"/>
                <w:i w:val="0"/>
                <w:iCs w:val="0"/>
                <w:color w:val="000000"/>
                <w:sz w:val="22"/>
                <w:szCs w:val="22"/>
                <w:u w:val="none"/>
              </w:rPr>
            </w:pPr>
          </w:p>
        </w:tc>
      </w:tr>
      <w:tr w14:paraId="5621AE53">
        <w:trPr>
          <w:trHeight w:val="336" w:hRule="atLeast"/>
        </w:trPr>
        <w:tc>
          <w:tcPr>
            <w:tcW w:w="774" w:type="dxa"/>
            <w:vMerge w:val="restart"/>
            <w:tcBorders>
              <w:top w:val="single" w:color="000000" w:sz="4" w:space="0"/>
              <w:left w:val="single" w:color="000000" w:sz="4" w:space="0"/>
              <w:bottom w:val="single" w:color="000000" w:sz="4" w:space="0"/>
              <w:right w:val="single" w:color="000000" w:sz="4" w:space="0"/>
            </w:tcBorders>
            <w:shd w:val="clear"/>
            <w:vAlign w:val="center"/>
          </w:tcPr>
          <w:p w14:paraId="6AF379DC">
            <w:pPr>
              <w:keepNext w:val="0"/>
              <w:keepLines w:val="0"/>
              <w:widowControl/>
              <w:suppressLineNumbers w:val="0"/>
              <w:jc w:val="center"/>
              <w:textAlignment w:val="center"/>
              <w:rPr>
                <w:rFonts w:hint="default" w:ascii="Times New Roman Bold" w:hAnsi="Times New Roman Bold" w:eastAsia="Times New Roman Bold" w:cs="Times New Roman Bold"/>
                <w:b/>
                <w:bCs/>
                <w:i w:val="0"/>
                <w:iCs w:val="0"/>
                <w:color w:val="000000"/>
                <w:sz w:val="22"/>
                <w:szCs w:val="22"/>
                <w:u w:val="none"/>
              </w:rPr>
            </w:pPr>
            <w:r>
              <w:rPr>
                <w:rFonts w:hint="default" w:ascii="Times New Roman Bold" w:hAnsi="Times New Roman Bold" w:eastAsia="Times New Roman Bold" w:cs="Times New Roman Bold"/>
                <w:b/>
                <w:bCs/>
                <w:i w:val="0"/>
                <w:iCs w:val="0"/>
                <w:color w:val="000000"/>
                <w:kern w:val="0"/>
                <w:sz w:val="22"/>
                <w:szCs w:val="22"/>
                <w:u w:val="none"/>
                <w:bdr w:val="none" w:color="auto" w:sz="0" w:space="0"/>
                <w:lang w:val="en-US" w:eastAsia="zh-CN" w:bidi="ar"/>
              </w:rPr>
              <w:t>2024</w:t>
            </w:r>
          </w:p>
        </w:tc>
        <w:tc>
          <w:tcPr>
            <w:tcW w:w="2596" w:type="dxa"/>
            <w:vMerge w:val="restart"/>
            <w:tcBorders>
              <w:top w:val="single" w:color="000000" w:sz="4" w:space="0"/>
              <w:left w:val="single" w:color="000000" w:sz="4" w:space="0"/>
              <w:bottom w:val="single" w:color="000000" w:sz="4" w:space="0"/>
              <w:right w:val="single" w:color="000000" w:sz="4" w:space="0"/>
            </w:tcBorders>
            <w:shd w:val="clear"/>
            <w:vAlign w:val="center"/>
          </w:tcPr>
          <w:p w14:paraId="3FE8760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《国家医疗保障局办公室关于印发按病组和病种分值付费</w:t>
            </w:r>
            <w:r>
              <w:rPr>
                <w:rFonts w:hint="default" w:ascii="Times New Roman Regular" w:hAnsi="Times New Roman Regular" w:eastAsia="Times New Roman Regular" w:cs="Times New Roman Regular"/>
                <w:i w:val="0"/>
                <w:iCs w:val="0"/>
                <w:color w:val="000000"/>
                <w:kern w:val="0"/>
                <w:sz w:val="22"/>
                <w:szCs w:val="22"/>
                <w:u w:val="none"/>
                <w:bdr w:val="none" w:color="auto" w:sz="0" w:space="0"/>
                <w:lang w:val="en-US" w:eastAsia="zh-CN" w:bidi="ar"/>
              </w:rPr>
              <w:t>2.0</w:t>
            </w:r>
            <w:r>
              <w:rPr>
                <w:rFonts w:hint="eastAsia" w:ascii="宋体" w:hAnsi="宋体" w:eastAsia="宋体" w:cs="宋体"/>
                <w:i w:val="0"/>
                <w:iCs w:val="0"/>
                <w:color w:val="000000"/>
                <w:kern w:val="0"/>
                <w:sz w:val="22"/>
                <w:szCs w:val="22"/>
                <w:u w:val="none"/>
                <w:bdr w:val="none" w:color="auto" w:sz="0" w:space="0"/>
                <w:lang w:val="en-US" w:eastAsia="zh-CN" w:bidi="ar"/>
              </w:rPr>
              <w:t>版分组方案并深入推进相关工作的通知》</w:t>
            </w:r>
          </w:p>
        </w:tc>
        <w:tc>
          <w:tcPr>
            <w:tcW w:w="4989" w:type="dxa"/>
            <w:vMerge w:val="restart"/>
            <w:tcBorders>
              <w:top w:val="single" w:color="000000" w:sz="4" w:space="0"/>
              <w:left w:val="single" w:color="000000" w:sz="4" w:space="0"/>
              <w:bottom w:val="single" w:color="000000" w:sz="4" w:space="0"/>
              <w:right w:val="single" w:color="000000" w:sz="4" w:space="0"/>
            </w:tcBorders>
            <w:shd w:val="clear"/>
            <w:vAlign w:val="center"/>
          </w:tcPr>
          <w:p w14:paraId="7DDE129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明确提出除外机制</w:t>
            </w:r>
            <w:r>
              <w:rPr>
                <w:rFonts w:hint="default" w:ascii="Times New Roman Regular" w:hAnsi="Times New Roman Regular" w:eastAsia="Times New Roman Regular" w:cs="Times New Roman Regular"/>
                <w:i w:val="0"/>
                <w:iCs w:val="0"/>
                <w:color w:val="000000"/>
                <w:kern w:val="0"/>
                <w:sz w:val="22"/>
                <w:szCs w:val="22"/>
                <w:u w:val="none"/>
                <w:bdr w:val="none" w:color="auto" w:sz="0" w:space="0"/>
                <w:lang w:val="en-US" w:eastAsia="zh-CN" w:bidi="ar"/>
              </w:rPr>
              <w:t>——</w:t>
            </w:r>
            <w:r>
              <w:rPr>
                <w:rFonts w:hint="eastAsia" w:ascii="宋体" w:hAnsi="宋体" w:eastAsia="宋体" w:cs="宋体"/>
                <w:i w:val="0"/>
                <w:iCs w:val="0"/>
                <w:color w:val="000000"/>
                <w:kern w:val="0"/>
                <w:sz w:val="22"/>
                <w:szCs w:val="22"/>
                <w:u w:val="none"/>
                <w:bdr w:val="none" w:color="auto" w:sz="0" w:space="0"/>
                <w:lang w:val="en-US" w:eastAsia="zh-CN" w:bidi="ar"/>
              </w:rPr>
              <w:t>对符合条件的新药耗新技术在应用初期按项目付费或以权重</w:t>
            </w:r>
            <w:r>
              <w:rPr>
                <w:rFonts w:hint="default" w:ascii="Times New Roman Regular" w:hAnsi="Times New Roman Regular" w:eastAsia="Times New Roman Regular" w:cs="Times New Roman Regular"/>
                <w:i w:val="0"/>
                <w:iCs w:val="0"/>
                <w:color w:val="000000"/>
                <w:kern w:val="0"/>
                <w:sz w:val="22"/>
                <w:szCs w:val="22"/>
                <w:u w:val="none"/>
                <w:bdr w:val="none" w:color="auto" w:sz="0" w:space="0"/>
                <w:lang w:val="en-US" w:eastAsia="zh-CN" w:bidi="ar"/>
              </w:rPr>
              <w:t>(</w:t>
            </w:r>
            <w:r>
              <w:rPr>
                <w:rFonts w:hint="eastAsia" w:ascii="宋体" w:hAnsi="宋体" w:eastAsia="宋体" w:cs="宋体"/>
                <w:i w:val="0"/>
                <w:iCs w:val="0"/>
                <w:color w:val="000000"/>
                <w:kern w:val="0"/>
                <w:sz w:val="22"/>
                <w:szCs w:val="22"/>
                <w:u w:val="none"/>
                <w:bdr w:val="none" w:color="auto" w:sz="0" w:space="0"/>
                <w:lang w:val="en-US" w:eastAsia="zh-CN" w:bidi="ar"/>
              </w:rPr>
              <w:t>点数</w:t>
            </w:r>
            <w:r>
              <w:rPr>
                <w:rFonts w:hint="default" w:ascii="Times New Roman Regular" w:hAnsi="Times New Roman Regular" w:eastAsia="Times New Roman Regular" w:cs="Times New Roman Regular"/>
                <w:i w:val="0"/>
                <w:iCs w:val="0"/>
                <w:color w:val="000000"/>
                <w:kern w:val="0"/>
                <w:sz w:val="22"/>
                <w:szCs w:val="22"/>
                <w:u w:val="none"/>
                <w:bdr w:val="none" w:color="auto" w:sz="0" w:space="0"/>
                <w:lang w:val="en-US" w:eastAsia="zh-CN" w:bidi="ar"/>
              </w:rPr>
              <w:t>)</w:t>
            </w:r>
            <w:r>
              <w:rPr>
                <w:rFonts w:hint="eastAsia" w:ascii="宋体" w:hAnsi="宋体" w:eastAsia="宋体" w:cs="宋体"/>
                <w:i w:val="0"/>
                <w:iCs w:val="0"/>
                <w:color w:val="000000"/>
                <w:kern w:val="0"/>
                <w:sz w:val="22"/>
                <w:szCs w:val="22"/>
                <w:u w:val="none"/>
                <w:bdr w:val="none" w:color="auto" w:sz="0" w:space="0"/>
                <w:lang w:val="en-US" w:eastAsia="zh-CN" w:bidi="ar"/>
              </w:rPr>
              <w:t>加成等方式予以支持。</w:t>
            </w:r>
          </w:p>
        </w:tc>
      </w:tr>
      <w:tr w14:paraId="48F7E859">
        <w:trPr>
          <w:trHeight w:val="336" w:hRule="atLeast"/>
        </w:trPr>
        <w:tc>
          <w:tcPr>
            <w:tcW w:w="774" w:type="dxa"/>
            <w:vMerge w:val="continue"/>
            <w:tcBorders>
              <w:top w:val="single" w:color="000000" w:sz="4" w:space="0"/>
              <w:left w:val="single" w:color="000000" w:sz="4" w:space="0"/>
              <w:bottom w:val="single" w:color="000000" w:sz="4" w:space="0"/>
              <w:right w:val="single" w:color="000000" w:sz="4" w:space="0"/>
            </w:tcBorders>
            <w:shd w:val="clear"/>
            <w:vAlign w:val="center"/>
          </w:tcPr>
          <w:p w14:paraId="65A48352">
            <w:pPr>
              <w:jc w:val="center"/>
              <w:rPr>
                <w:rFonts w:hint="default" w:ascii="Times New Roman Bold" w:hAnsi="Times New Roman Bold" w:eastAsia="Times New Roman Bold" w:cs="Times New Roman Bold"/>
                <w:b/>
                <w:bCs/>
                <w:i w:val="0"/>
                <w:iCs w:val="0"/>
                <w:color w:val="000000"/>
                <w:sz w:val="22"/>
                <w:szCs w:val="22"/>
                <w:u w:val="none"/>
              </w:rPr>
            </w:pPr>
          </w:p>
        </w:tc>
        <w:tc>
          <w:tcPr>
            <w:tcW w:w="2596" w:type="dxa"/>
            <w:vMerge w:val="continue"/>
            <w:tcBorders>
              <w:top w:val="single" w:color="000000" w:sz="4" w:space="0"/>
              <w:left w:val="single" w:color="000000" w:sz="4" w:space="0"/>
              <w:bottom w:val="single" w:color="000000" w:sz="4" w:space="0"/>
              <w:right w:val="single" w:color="000000" w:sz="4" w:space="0"/>
            </w:tcBorders>
            <w:shd w:val="clear"/>
            <w:vAlign w:val="center"/>
          </w:tcPr>
          <w:p w14:paraId="7D297F2C">
            <w:pPr>
              <w:jc w:val="center"/>
              <w:rPr>
                <w:rFonts w:hint="eastAsia" w:ascii="宋体" w:hAnsi="宋体" w:eastAsia="宋体" w:cs="宋体"/>
                <w:i w:val="0"/>
                <w:iCs w:val="0"/>
                <w:color w:val="000000"/>
                <w:sz w:val="22"/>
                <w:szCs w:val="22"/>
                <w:u w:val="none"/>
              </w:rPr>
            </w:pPr>
          </w:p>
        </w:tc>
        <w:tc>
          <w:tcPr>
            <w:tcW w:w="4989" w:type="dxa"/>
            <w:vMerge w:val="continue"/>
            <w:tcBorders>
              <w:top w:val="single" w:color="000000" w:sz="4" w:space="0"/>
              <w:left w:val="single" w:color="000000" w:sz="4" w:space="0"/>
              <w:bottom w:val="single" w:color="000000" w:sz="4" w:space="0"/>
              <w:right w:val="single" w:color="000000" w:sz="4" w:space="0"/>
            </w:tcBorders>
            <w:shd w:val="clear"/>
            <w:vAlign w:val="center"/>
          </w:tcPr>
          <w:p w14:paraId="723D2CD7">
            <w:pPr>
              <w:jc w:val="center"/>
              <w:rPr>
                <w:rFonts w:hint="eastAsia" w:ascii="宋体" w:hAnsi="宋体" w:eastAsia="宋体" w:cs="宋体"/>
                <w:i w:val="0"/>
                <w:iCs w:val="0"/>
                <w:color w:val="000000"/>
                <w:sz w:val="22"/>
                <w:szCs w:val="22"/>
                <w:u w:val="none"/>
              </w:rPr>
            </w:pPr>
          </w:p>
        </w:tc>
      </w:tr>
      <w:tr w14:paraId="5E323469">
        <w:trPr>
          <w:trHeight w:val="1680" w:hRule="atLeast"/>
        </w:trPr>
        <w:tc>
          <w:tcPr>
            <w:tcW w:w="774" w:type="dxa"/>
            <w:tcBorders>
              <w:top w:val="single" w:color="000000" w:sz="4" w:space="0"/>
              <w:left w:val="single" w:color="000000" w:sz="4" w:space="0"/>
              <w:bottom w:val="single" w:color="000000" w:sz="4" w:space="0"/>
              <w:right w:val="single" w:color="000000" w:sz="4" w:space="0"/>
            </w:tcBorders>
            <w:shd w:val="clear"/>
            <w:vAlign w:val="center"/>
          </w:tcPr>
          <w:p w14:paraId="30E51F5E">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bdr w:val="none" w:color="auto" w:sz="0" w:space="0"/>
                <w:lang w:val="en-US" w:eastAsia="zh-CN" w:bidi="ar"/>
              </w:rPr>
              <w:t>2024</w:t>
            </w:r>
          </w:p>
        </w:tc>
        <w:tc>
          <w:tcPr>
            <w:tcW w:w="2596" w:type="dxa"/>
            <w:tcBorders>
              <w:top w:val="single" w:color="000000" w:sz="4" w:space="0"/>
              <w:left w:val="single" w:color="000000" w:sz="4" w:space="0"/>
              <w:bottom w:val="single" w:color="000000" w:sz="4" w:space="0"/>
              <w:right w:val="single" w:color="000000" w:sz="4" w:space="0"/>
            </w:tcBorders>
            <w:shd w:val="clear"/>
            <w:vAlign w:val="center"/>
          </w:tcPr>
          <w:p w14:paraId="4569D28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《全链条支持创新药发展实施方案》</w:t>
            </w:r>
          </w:p>
        </w:tc>
        <w:tc>
          <w:tcPr>
            <w:tcW w:w="4989" w:type="dxa"/>
            <w:tcBorders>
              <w:top w:val="single" w:color="000000" w:sz="4" w:space="0"/>
              <w:left w:val="single" w:color="000000" w:sz="4" w:space="0"/>
              <w:bottom w:val="single" w:color="000000" w:sz="4" w:space="0"/>
              <w:right w:val="single" w:color="000000" w:sz="4" w:space="0"/>
            </w:tcBorders>
            <w:shd w:val="clear"/>
            <w:vAlign w:val="center"/>
          </w:tcPr>
          <w:p w14:paraId="467D100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零售+定点医疗机构</w:t>
            </w:r>
            <w:r>
              <w:rPr>
                <w:rFonts w:hint="eastAsia" w:ascii="宋体" w:hAnsi="宋体" w:eastAsia="宋体" w:cs="宋体"/>
                <w:i w:val="0"/>
                <w:iCs w:val="0"/>
                <w:color w:val="000000"/>
                <w:kern w:val="0"/>
                <w:sz w:val="22"/>
                <w:szCs w:val="22"/>
                <w:u w:val="none"/>
                <w:bdr w:val="none" w:color="auto" w:sz="0" w:space="0"/>
                <w:lang w:val="en-US" w:eastAsia="zh-CN" w:bidi="ar"/>
              </w:rPr>
              <w:br w:type="textWrapping"/>
            </w:r>
            <w:r>
              <w:rPr>
                <w:rFonts w:hint="eastAsia" w:ascii="宋体" w:hAnsi="宋体" w:eastAsia="宋体" w:cs="宋体"/>
                <w:i w:val="0"/>
                <w:iCs w:val="0"/>
                <w:color w:val="000000"/>
                <w:kern w:val="0"/>
                <w:sz w:val="22"/>
                <w:szCs w:val="22"/>
                <w:u w:val="none"/>
                <w:bdr w:val="none" w:color="auto" w:sz="0" w:space="0"/>
                <w:lang w:val="en-US" w:eastAsia="zh-CN" w:bidi="ar"/>
              </w:rPr>
              <w:t>满足谈判药品供应保障、临床使用等方面的合理需求；同步纳入医保支付的机制</w:t>
            </w:r>
            <w:r>
              <w:rPr>
                <w:rFonts w:hint="eastAsia" w:ascii="宋体" w:hAnsi="宋体" w:eastAsia="宋体" w:cs="宋体"/>
                <w:i w:val="0"/>
                <w:iCs w:val="0"/>
                <w:color w:val="000000"/>
                <w:kern w:val="0"/>
                <w:sz w:val="22"/>
                <w:szCs w:val="22"/>
                <w:u w:val="none"/>
                <w:bdr w:val="none" w:color="auto" w:sz="0" w:space="0"/>
                <w:lang w:val="en-US" w:eastAsia="zh-CN" w:bidi="ar"/>
              </w:rPr>
              <w:br w:type="textWrapping"/>
            </w:r>
            <w:r>
              <w:rPr>
                <w:rFonts w:hint="eastAsia" w:ascii="宋体" w:hAnsi="宋体" w:eastAsia="宋体" w:cs="宋体"/>
                <w:i w:val="0"/>
                <w:iCs w:val="0"/>
                <w:color w:val="000000"/>
                <w:kern w:val="0"/>
                <w:sz w:val="22"/>
                <w:szCs w:val="22"/>
                <w:u w:val="none"/>
                <w:bdr w:val="none" w:color="auto" w:sz="0" w:space="0"/>
                <w:lang w:val="en-US" w:eastAsia="zh-CN" w:bidi="ar"/>
              </w:rPr>
              <w:t>拓展终端渠道：促进高价值创新药市场启动+快速放量</w:t>
            </w:r>
          </w:p>
        </w:tc>
      </w:tr>
    </w:tbl>
    <w:p w14:paraId="00DF1C6A">
      <w:pPr>
        <w:keepNext w:val="0"/>
        <w:keepLines w:val="0"/>
        <w:widowControl/>
        <w:suppressLineNumbers w:val="0"/>
        <w:jc w:val="center"/>
        <w:textAlignment w:val="center"/>
        <w:rPr>
          <w:rFonts w:hint="default" w:ascii="Times New Roman Regular" w:hAnsi="Times New Roman Regular" w:eastAsia="宋体" w:cs="Times New Roman Regular"/>
          <w:i w:val="0"/>
          <w:iCs w:val="0"/>
          <w:color w:val="auto"/>
          <w:kern w:val="0"/>
          <w:sz w:val="22"/>
          <w:szCs w:val="22"/>
          <w:u w:val="none"/>
          <w:lang w:val="en-US" w:eastAsia="zh-CN" w:bidi="ar"/>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Times New Roman Regular">
    <w:panose1 w:val="02020503050405090304"/>
    <w:charset w:val="00"/>
    <w:family w:val="auto"/>
    <w:pitch w:val="default"/>
    <w:sig w:usb0="E0000AFF" w:usb1="00007843" w:usb2="00000001" w:usb3="00000000" w:csb0="400001BF" w:csb1="DFF70000"/>
  </w:font>
  <w:font w:name="Times New Roman Bold">
    <w:panose1 w:val="02020503050405090304"/>
    <w:charset w:val="00"/>
    <w:family w:val="auto"/>
    <w:pitch w:val="default"/>
    <w:sig w:usb0="E0000AFF" w:usb1="00007843" w:usb2="00000001" w:usb3="00000000" w:csb0="400001BF" w:csb1="DFF70000"/>
  </w:font>
  <w:font w:name="汉仪书宋二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F6168A"/>
    <w:multiLevelType w:val="singleLevel"/>
    <w:tmpl w:val="BFF6168A"/>
    <w:lvl w:ilvl="0" w:tentative="0">
      <w:start w:val="1"/>
      <w:numFmt w:val="bullet"/>
      <w:lvlText w:val=""/>
      <w:lvlJc w:val="left"/>
      <w:pPr>
        <w:tabs>
          <w:tab w:val="left" w:pos="420"/>
        </w:tabs>
        <w:ind w:left="840" w:hanging="420"/>
      </w:pPr>
      <w:rPr>
        <w:rFonts w:hint="default" w:ascii="Wingdings" w:hAnsi="Wingdings"/>
      </w:rPr>
    </w:lvl>
  </w:abstractNum>
  <w:abstractNum w:abstractNumId="1">
    <w:nsid w:val="D8FAD5A9"/>
    <w:multiLevelType w:val="multilevel"/>
    <w:tmpl w:val="D8FAD5A9"/>
    <w:lvl w:ilvl="0" w:tentative="0">
      <w:start w:val="1"/>
      <w:numFmt w:val="decimal"/>
      <w:lvlText w:val="%1."/>
      <w:lvlJc w:val="left"/>
      <w:pPr>
        <w:ind w:left="425" w:hanging="425"/>
      </w:pPr>
      <w:rPr>
        <w:rFonts w:hint="default"/>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2">
    <w:nsid w:val="DFFB1D3E"/>
    <w:multiLevelType w:val="singleLevel"/>
    <w:tmpl w:val="DFFB1D3E"/>
    <w:lvl w:ilvl="0" w:tentative="0">
      <w:start w:val="1"/>
      <w:numFmt w:val="bullet"/>
      <w:lvlText w:val=""/>
      <w:lvlJc w:val="left"/>
      <w:pPr>
        <w:ind w:left="420" w:hanging="420"/>
      </w:pPr>
      <w:rPr>
        <w:rFonts w:hint="default" w:ascii="Wingdings" w:hAnsi="Wingdings"/>
      </w:rPr>
    </w:lvl>
  </w:abstractNum>
  <w:abstractNum w:abstractNumId="3">
    <w:nsid w:val="FB5AAA6C"/>
    <w:multiLevelType w:val="singleLevel"/>
    <w:tmpl w:val="FB5AAA6C"/>
    <w:lvl w:ilvl="0" w:tentative="0">
      <w:start w:val="1"/>
      <w:numFmt w:val="bullet"/>
      <w:lvlText w:val=""/>
      <w:lvlJc w:val="left"/>
      <w:pPr>
        <w:ind w:left="420" w:hanging="420"/>
      </w:pPr>
      <w:rPr>
        <w:rFonts w:hint="default" w:ascii="Wingdings" w:hAnsi="Wingdings"/>
      </w:rPr>
    </w:lvl>
  </w:abstractNum>
  <w:abstractNum w:abstractNumId="4">
    <w:nsid w:val="57EDB9B8"/>
    <w:multiLevelType w:val="singleLevel"/>
    <w:tmpl w:val="57EDB9B8"/>
    <w:lvl w:ilvl="0" w:tentative="0">
      <w:start w:val="1"/>
      <w:numFmt w:val="bullet"/>
      <w:lvlText w:val=""/>
      <w:lvlJc w:val="left"/>
      <w:pPr>
        <w:tabs>
          <w:tab w:val="left" w:pos="420"/>
        </w:tabs>
        <w:ind w:left="840" w:hanging="420"/>
      </w:pPr>
      <w:rPr>
        <w:rFonts w:hint="default" w:ascii="Wingdings" w:hAnsi="Wingdings"/>
      </w:rPr>
    </w:lvl>
  </w:abstractNum>
  <w:abstractNum w:abstractNumId="5">
    <w:nsid w:val="5B93D853"/>
    <w:multiLevelType w:val="singleLevel"/>
    <w:tmpl w:val="5B93D853"/>
    <w:lvl w:ilvl="0" w:tentative="0">
      <w:start w:val="1"/>
      <w:numFmt w:val="bullet"/>
      <w:lvlText w:val=""/>
      <w:lvlJc w:val="left"/>
      <w:pPr>
        <w:tabs>
          <w:tab w:val="left" w:pos="420"/>
        </w:tabs>
        <w:ind w:left="840" w:hanging="420"/>
      </w:pPr>
      <w:rPr>
        <w:rFonts w:hint="default" w:ascii="Wingdings" w:hAnsi="Wingdings"/>
      </w:rPr>
    </w:lvl>
  </w:abstractNum>
  <w:abstractNum w:abstractNumId="6">
    <w:nsid w:val="7D5C3C71"/>
    <w:multiLevelType w:val="singleLevel"/>
    <w:tmpl w:val="7D5C3C71"/>
    <w:lvl w:ilvl="0" w:tentative="0">
      <w:start w:val="1"/>
      <w:numFmt w:val="bullet"/>
      <w:lvlText w:val=""/>
      <w:lvlJc w:val="left"/>
      <w:pPr>
        <w:ind w:left="420" w:hanging="420"/>
      </w:pPr>
      <w:rPr>
        <w:rFonts w:hint="default" w:ascii="Wingdings" w:hAnsi="Wingdings"/>
      </w:rPr>
    </w:lvl>
  </w:abstractNum>
  <w:abstractNum w:abstractNumId="7">
    <w:nsid w:val="7EB1E6DF"/>
    <w:multiLevelType w:val="singleLevel"/>
    <w:tmpl w:val="7EB1E6DF"/>
    <w:lvl w:ilvl="0" w:tentative="0">
      <w:start w:val="1"/>
      <w:numFmt w:val="bullet"/>
      <w:lvlText w:val=""/>
      <w:lvlJc w:val="left"/>
      <w:pPr>
        <w:tabs>
          <w:tab w:val="left" w:pos="420"/>
        </w:tabs>
        <w:ind w:left="840" w:hanging="420"/>
      </w:pPr>
      <w:rPr>
        <w:rFonts w:hint="default" w:ascii="Wingdings" w:hAnsi="Wingdings"/>
      </w:rPr>
    </w:lvl>
  </w:abstractNum>
  <w:num w:numId="1">
    <w:abstractNumId w:val="1"/>
  </w:num>
  <w:num w:numId="2">
    <w:abstractNumId w:val="6"/>
  </w:num>
  <w:num w:numId="3">
    <w:abstractNumId w:val="3"/>
  </w:num>
  <w:num w:numId="4">
    <w:abstractNumId w:val="2"/>
  </w:num>
  <w:num w:numId="5">
    <w:abstractNumId w:val="0"/>
  </w:num>
  <w:num w:numId="6">
    <w:abstractNumId w:val="4"/>
  </w:num>
  <w:num w:numId="7">
    <w:abstractNumId w:val="7"/>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F730E88"/>
    <w:rsid w:val="3F730E88"/>
    <w:rsid w:val="7FBDEA9B"/>
    <w:rsid w:val="DBFF6F94"/>
    <w:rsid w:val="E7B690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 w:type="character" w:customStyle="1" w:styleId="6">
    <w:name w:val="font61"/>
    <w:basedOn w:val="4"/>
    <w:uiPriority w:val="0"/>
    <w:rPr>
      <w:rFonts w:hint="default" w:ascii="Times New Roman Regular" w:hAnsi="Times New Roman Regular" w:eastAsia="Times New Roman Regular" w:cs="Times New Roman Regular"/>
      <w:color w:val="000000"/>
      <w:sz w:val="22"/>
      <w:szCs w:val="22"/>
      <w:u w:val="none"/>
    </w:rPr>
  </w:style>
  <w:style w:type="character" w:customStyle="1" w:styleId="7">
    <w:name w:val="font51"/>
    <w:basedOn w:val="4"/>
    <w:uiPriority w:val="0"/>
    <w:rPr>
      <w:rFonts w:hint="eastAsia" w:ascii="宋体" w:hAnsi="宋体" w:eastAsia="宋体" w:cs="宋体"/>
      <w:color w:val="000000"/>
      <w:sz w:val="22"/>
      <w:szCs w:val="22"/>
      <w:u w:val="none"/>
    </w:rPr>
  </w:style>
  <w:style w:type="character" w:customStyle="1" w:styleId="8">
    <w:name w:val="font71"/>
    <w:basedOn w:val="4"/>
    <w:uiPriority w:val="0"/>
    <w:rPr>
      <w:rFonts w:hint="eastAsia" w:ascii="宋体-简" w:hAnsi="宋体-简" w:eastAsia="宋体-简" w:cs="宋体-简"/>
      <w:color w:val="000000"/>
      <w:sz w:val="22"/>
      <w:szCs w:val="22"/>
      <w:u w:val="none"/>
    </w:rPr>
  </w:style>
  <w:style w:type="character" w:customStyle="1" w:styleId="9">
    <w:name w:val="font91"/>
    <w:basedOn w:val="4"/>
    <w:uiPriority w:val="0"/>
    <w:rPr>
      <w:rFonts w:hint="eastAsia" w:ascii="宋体" w:hAnsi="宋体" w:eastAsia="宋体" w:cs="宋体"/>
      <w:color w:val="000000"/>
      <w:sz w:val="22"/>
      <w:szCs w:val="22"/>
      <w:u w:val="none"/>
    </w:rPr>
  </w:style>
  <w:style w:type="character" w:customStyle="1" w:styleId="10">
    <w:name w:val="font41"/>
    <w:basedOn w:val="4"/>
    <w:uiPriority w:val="0"/>
    <w:rPr>
      <w:rFonts w:hint="eastAsia" w:ascii="宋体" w:hAnsi="宋体" w:eastAsia="宋体" w:cs="宋体"/>
      <w:color w:val="000000"/>
      <w:sz w:val="22"/>
      <w:szCs w:val="22"/>
      <w:u w:val="non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77</TotalTime>
  <ScaleCrop>false</ScaleCrop>
  <LinksUpToDate>false</LinksUpToDate>
  <CharactersWithSpaces>0</CharactersWithSpaces>
  <Application>WPS Office_6.11.0.8885_F1E327BC-269C-435d-A152-05C5408002CA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2024-10-30T03:31:00Z</dcterms:created>
  <dc:creator>W</dc:creator>
  <cp:lastModifiedBy>W</cp:lastModifiedBy>
  <dcterms:modified xsi:type="dcterms:W3CDTF">2024-11-02T20:17:29Z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2052-6.11.0.8885</vt:lpwstr>
  </property>
  <property fmtid="{D5CDD505-2E9C-101B-9397-08002B2CF9AE}" pid="3" name="ICV">
    <vt:lpwstr>5EAD346BB41031887AC720679FF1077A_41</vt:lpwstr>
  </property>
</Properties>
</file>