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8"/>
          <w:szCs w:val="48"/>
        </w:rPr>
        <w:t xml:space="preserve">ML Theory — Deep Dive</w:t>
      </w:r>
    </w:p>
    <w:p>
      <w:pPr>
        <w:spacing w:after="400" w:before="0"/>
        <w:jc w:val="center"/>
      </w:pPr>
      <w:r>
        <w:rPr>
          <w:rFonts w:ascii="Arial" w:cs="Arial" w:eastAsia="Arial" w:hAnsi="Arial"/>
          <w:i/>
          <w:iCs/>
          <w:color w:val="888888"/>
          <w:sz w:val="26"/>
          <w:szCs w:val="26"/>
        </w:rPr>
        <w:t xml:space="preserve">Interview Q&amp;A</w:t>
      </w:r>
    </w:p>
    <w:p>
      <w:pPr>
        <w:pStyle w:val="Heading1"/>
        <w:pBdr>
          <w:bottom w:val="single" w:color="2E75B6" w:sz="6" w:space="1"/>
        </w:pBdr>
        <w:spacing w:after="120" w:before="360"/>
      </w:pPr>
      <w:r>
        <w:rPr>
          <w:rFonts w:ascii="Arial" w:cs="Arial" w:eastAsia="Arial" w:hAnsi="Arial"/>
          <w:b/>
          <w:bCs/>
          <w:color w:val="1F4E79"/>
          <w:sz w:val="32"/>
          <w:szCs w:val="32"/>
        </w:rPr>
        <w:t xml:space="preserve">Bias, Variance &amp; Regularisation</w:t>
      </w:r>
    </w:p>
    <w:p>
      <w:pPr>
        <w:pStyle w:val="ListParagraph"/>
        <w:numPr>
          <w:ilvl w:val="0"/>
          <w:numId w:val="2"/>
        </w:numPr>
        <w:spacing w:after="60" w:before="200"/>
      </w:pPr>
      <w:r>
        <w:rPr>
          <w:rFonts w:ascii="Arial" w:cs="Arial" w:eastAsia="Arial" w:hAnsi="Arial"/>
          <w:b/>
          <w:bCs/>
          <w:color w:val="1F3864"/>
          <w:sz w:val="22"/>
          <w:szCs w:val="22"/>
        </w:rPr>
        <w:t xml:space="preserve">Explain the bias-variance tradeoff.</w:t>
      </w:r>
    </w:p>
    <w:p>
      <w:pPr>
        <w:spacing w:after="160" w:before="0"/>
        <w:ind w:left="360"/>
      </w:pPr>
      <w:r>
        <w:rPr>
          <w:rFonts w:ascii="Arial" w:cs="Arial" w:eastAsia="Arial" w:hAnsi="Arial"/>
          <w:color w:val="333333"/>
          <w:sz w:val="20"/>
          <w:szCs w:val="20"/>
        </w:rPr>
        <w:t xml:space="preserve">Bias is error from wrong assumptions — high bias models (underfitting) miss true patterns. Variance is error from sensitivity to training data fluctuations — high variance models (overfitting) memorise noise. Total error = Bias² + Variance + Irreducible noise. The tradeoff: reducing bias (more complex model) typically increases variance, and vice versa. The goal is finding the sweet spot of model complexity. Regularisation, dropout, and ensembles manage this tradeoff.</w:t>
      </w:r>
    </w:p>
    <w:p>
      <w:pPr>
        <w:pStyle w:val="ListParagraph"/>
        <w:numPr>
          <w:ilvl w:val="0"/>
          <w:numId w:val="2"/>
        </w:numPr>
        <w:spacing w:after="60" w:before="200"/>
      </w:pPr>
      <w:r>
        <w:rPr>
          <w:rFonts w:ascii="Arial" w:cs="Arial" w:eastAsia="Arial" w:hAnsi="Arial"/>
          <w:b/>
          <w:bCs/>
          <w:color w:val="1F3864"/>
          <w:sz w:val="22"/>
          <w:szCs w:val="22"/>
        </w:rPr>
        <w:t xml:space="preserve">Explain L1 vs L2 regularisation. When to use each?</w:t>
      </w:r>
    </w:p>
    <w:p>
      <w:pPr>
        <w:spacing w:after="160" w:before="0"/>
        <w:ind w:left="360"/>
      </w:pPr>
      <w:r>
        <w:rPr>
          <w:rFonts w:ascii="Arial" w:cs="Arial" w:eastAsia="Arial" w:hAnsi="Arial"/>
          <w:color w:val="333333"/>
          <w:sz w:val="20"/>
          <w:szCs w:val="20"/>
        </w:rPr>
        <w:t xml:space="preserve">L2 (Ridge): adds λ * Σwᵢ² to the loss — penalises large weights, shrinks all towards zero but rarely to exactly zero. Produces dense solutions. L1 (Lasso): adds λ * Σ|wᵢ| — penalises absolute magnitude, produces sparse solutions (some weights exactly zero) — acts as feature selection. Elastic Net: combines both (α * L1 + (1-α) * L2). Use L2 when all features are expected to contribute. Use L1 for high-dimensional sparse data (text features) where automatic feature selection is valuable.</w:t>
      </w:r>
    </w:p>
    <w:p>
      <w:pPr>
        <w:pStyle w:val="Heading1"/>
        <w:pBdr>
          <w:bottom w:val="single" w:color="2E75B6" w:sz="6" w:space="1"/>
        </w:pBdr>
        <w:spacing w:after="120" w:before="360"/>
      </w:pPr>
      <w:r>
        <w:rPr>
          <w:rFonts w:ascii="Arial" w:cs="Arial" w:eastAsia="Arial" w:hAnsi="Arial"/>
          <w:b/>
          <w:bCs/>
          <w:color w:val="1F4E79"/>
          <w:sz w:val="32"/>
          <w:szCs w:val="32"/>
        </w:rPr>
        <w:t xml:space="preserve">Optimisation</w:t>
      </w:r>
    </w:p>
    <w:p>
      <w:pPr>
        <w:pStyle w:val="ListParagraph"/>
        <w:numPr>
          <w:ilvl w:val="0"/>
          <w:numId w:val="2"/>
        </w:numPr>
        <w:spacing w:after="60" w:before="200"/>
      </w:pPr>
      <w:r>
        <w:rPr>
          <w:rFonts w:ascii="Arial" w:cs="Arial" w:eastAsia="Arial" w:hAnsi="Arial"/>
          <w:b/>
          <w:bCs/>
          <w:color w:val="1F3864"/>
          <w:sz w:val="22"/>
          <w:szCs w:val="22"/>
        </w:rPr>
        <w:t xml:space="preserve">Explain SGD, Adam, and AdamW. What are their differences?</w:t>
      </w:r>
    </w:p>
    <w:p>
      <w:pPr>
        <w:spacing w:after="160" w:before="0"/>
        <w:ind w:left="360"/>
      </w:pPr>
      <w:r>
        <w:rPr>
          <w:rFonts w:ascii="Arial" w:cs="Arial" w:eastAsia="Arial" w:hAnsi="Arial"/>
          <w:color w:val="333333"/>
          <w:sz w:val="20"/>
          <w:szCs w:val="20"/>
        </w:rPr>
        <w:t xml:space="preserve">SGD (Stochastic Gradient Descent): updates weights using gradient of a mini-batch. Simple but sensitive to learning rate and doesn't adapt per-parameter. Momentum SGD adds a velocity term. Adam: adaptive learning rates per parameter using first moment (mean gradient) and second moment (uncentred variance). Formula: θ = θ - lr * m̂ / (√v̂ + ε). Converges fast but can generalise worse than SGD in some settings (marginal value issue). AdamW: decouples weight decay from the gradient update (fixes Adam's weight decay bug) — standard for Transformer training. For CV: SGD with momentum + cosine LR schedule often beats Adam. For LLMs: AdamW is standard.</w:t>
      </w:r>
    </w:p>
    <w:p>
      <w:pPr>
        <w:pStyle w:val="ListParagraph"/>
        <w:numPr>
          <w:ilvl w:val="0"/>
          <w:numId w:val="2"/>
        </w:numPr>
        <w:spacing w:after="60" w:before="200"/>
      </w:pPr>
      <w:r>
        <w:rPr>
          <w:rFonts w:ascii="Arial" w:cs="Arial" w:eastAsia="Arial" w:hAnsi="Arial"/>
          <w:b/>
          <w:bCs/>
          <w:color w:val="1F3864"/>
          <w:sz w:val="22"/>
          <w:szCs w:val="22"/>
        </w:rPr>
        <w:t xml:space="preserve">What are learning rate schedulers? Which do you use for Transformers?</w:t>
      </w:r>
    </w:p>
    <w:p>
      <w:pPr>
        <w:spacing w:after="160" w:before="0"/>
        <w:ind w:left="360"/>
      </w:pPr>
      <w:r>
        <w:rPr>
          <w:rFonts w:ascii="Arial" w:cs="Arial" w:eastAsia="Arial" w:hAnsi="Arial"/>
          <w:color w:val="333333"/>
          <w:sz w:val="20"/>
          <w:szCs w:val="20"/>
        </w:rPr>
        <w:t xml:space="preserve">Schedulers adjust the learning rate during training. Common types: StepLR (halve every N epochs), CosineAnnealing (LR follows cosine curve to near-zero), OneCycleLR (warm up then decay — fast convergence), ReduceLROnPlateau (decay on metric stagnation). For Transformers: linear warmup + linear/cosine decay is standard. Warmup is critical because early random weights produce large gradient variance — starting with a small LR and ramping up prevents early instability. PyTorch: use get_linear_schedule_with_warmup from transformers library.</w:t>
      </w:r>
    </w:p>
    <w:p>
      <w:pPr>
        <w:pStyle w:val="Heading1"/>
        <w:pBdr>
          <w:bottom w:val="single" w:color="2E75B6" w:sz="6" w:space="1"/>
        </w:pBdr>
        <w:spacing w:after="120" w:before="360"/>
      </w:pPr>
      <w:r>
        <w:rPr>
          <w:rFonts w:ascii="Arial" w:cs="Arial" w:eastAsia="Arial" w:hAnsi="Arial"/>
          <w:b/>
          <w:bCs/>
          <w:color w:val="1F4E79"/>
          <w:sz w:val="32"/>
          <w:szCs w:val="32"/>
        </w:rPr>
        <w:t xml:space="preserve">Normalisation Layers</w:t>
      </w:r>
    </w:p>
    <w:p>
      <w:pPr>
        <w:pStyle w:val="ListParagraph"/>
        <w:numPr>
          <w:ilvl w:val="0"/>
          <w:numId w:val="2"/>
        </w:numPr>
        <w:spacing w:after="60" w:before="200"/>
      </w:pPr>
      <w:r>
        <w:rPr>
          <w:rFonts w:ascii="Arial" w:cs="Arial" w:eastAsia="Arial" w:hAnsi="Arial"/>
          <w:b/>
          <w:bCs/>
          <w:color w:val="1F3864"/>
          <w:sz w:val="22"/>
          <w:szCs w:val="22"/>
        </w:rPr>
        <w:t xml:space="preserve">Explain Batch Norm, Layer Norm, and RMS Norm. Why do Transformers use Layer Norm?</w:t>
      </w:r>
    </w:p>
    <w:p>
      <w:pPr>
        <w:spacing w:after="160" w:before="0"/>
        <w:ind w:left="360"/>
      </w:pPr>
      <w:r>
        <w:rPr>
          <w:rFonts w:ascii="Arial" w:cs="Arial" w:eastAsia="Arial" w:hAnsi="Arial"/>
          <w:color w:val="333333"/>
          <w:sz w:val="20"/>
          <w:szCs w:val="20"/>
        </w:rPr>
        <w:t xml:space="preserve">Batch Norm: normalises across the batch dimension for each feature — statistics depend on batch size, ineffective for small batches, can't be used in RNNs/Transformers with variable-length sequences. Layer Norm: normalises across the feature dimension for each sample independently — no batch dependency, works with any batch size and sequence length. RMS Norm: simpler variant of Layer Norm without the mean subtraction (only divides by root mean square) — faster, used in LLaMA and modern LLMs. Transformers use Layer Norm (or RMS Norm) because they process variable-length sequences and training often uses small effective batch sizes (large hidden dims instead).</w:t>
      </w:r>
    </w:p>
    <w:p>
      <w:pPr>
        <w:pStyle w:val="Heading1"/>
        <w:pBdr>
          <w:bottom w:val="single" w:color="2E75B6" w:sz="6" w:space="1"/>
        </w:pBdr>
        <w:spacing w:after="120" w:before="360"/>
      </w:pPr>
      <w:r>
        <w:rPr>
          <w:rFonts w:ascii="Arial" w:cs="Arial" w:eastAsia="Arial" w:hAnsi="Arial"/>
          <w:b/>
          <w:bCs/>
          <w:color w:val="1F4E79"/>
          <w:sz w:val="32"/>
          <w:szCs w:val="32"/>
        </w:rPr>
        <w:t xml:space="preserve">Evaluation &amp; Calibration</w:t>
      </w:r>
    </w:p>
    <w:p>
      <w:pPr>
        <w:pStyle w:val="ListParagraph"/>
        <w:numPr>
          <w:ilvl w:val="0"/>
          <w:numId w:val="2"/>
        </w:numPr>
        <w:spacing w:after="60" w:before="200"/>
      </w:pPr>
      <w:r>
        <w:rPr>
          <w:rFonts w:ascii="Arial" w:cs="Arial" w:eastAsia="Arial" w:hAnsi="Arial"/>
          <w:b/>
          <w:bCs/>
          <w:color w:val="1F3864"/>
          <w:sz w:val="22"/>
          <w:szCs w:val="22"/>
        </w:rPr>
        <w:t xml:space="preserve">When would you use AUC-PR instead of AUC-ROC?</w:t>
      </w:r>
    </w:p>
    <w:p>
      <w:pPr>
        <w:spacing w:after="160" w:before="0"/>
        <w:ind w:left="360"/>
      </w:pPr>
      <w:r>
        <w:rPr>
          <w:rFonts w:ascii="Arial" w:cs="Arial" w:eastAsia="Arial" w:hAnsi="Arial"/>
          <w:color w:val="333333"/>
          <w:sz w:val="20"/>
          <w:szCs w:val="20"/>
        </w:rPr>
        <w:t xml:space="preserve">AUC-ROC measures the tradeoff between TPR and FPR — it's optimistic on imbalanced datasets because the large number of true negatives inflates TPR performance. AUC-PR (Precision-Recall) focuses only on the positive class — more informative when positives are rare (e.g., fraud detection: 0.1% fraud rate). A model with 0.95 AUC-ROC may have only 0.3 AUC-PR on an imbalanced dataset. Use AUC-PR as the primary metric for fraud, medical diagnosis, anomaly detection, and information retrieval tasks.</w:t>
      </w:r>
    </w:p>
    <w:p>
      <w:pPr>
        <w:pStyle w:val="ListParagraph"/>
        <w:numPr>
          <w:ilvl w:val="0"/>
          <w:numId w:val="2"/>
        </w:numPr>
        <w:spacing w:after="60" w:before="200"/>
      </w:pPr>
      <w:r>
        <w:rPr>
          <w:rFonts w:ascii="Arial" w:cs="Arial" w:eastAsia="Arial" w:hAnsi="Arial"/>
          <w:b/>
          <w:bCs/>
          <w:color w:val="1F3864"/>
          <w:sz w:val="22"/>
          <w:szCs w:val="22"/>
        </w:rPr>
        <w:t xml:space="preserve">What is model calibration and when does it matter?</w:t>
      </w:r>
    </w:p>
    <w:p>
      <w:pPr>
        <w:spacing w:after="160" w:before="0"/>
        <w:ind w:left="360"/>
      </w:pPr>
      <w:r>
        <w:rPr>
          <w:rFonts w:ascii="Arial" w:cs="Arial" w:eastAsia="Arial" w:hAnsi="Arial"/>
          <w:color w:val="333333"/>
          <w:sz w:val="20"/>
          <w:szCs w:val="20"/>
        </w:rPr>
        <w:t xml:space="preserve">A calibrated model outputs probabilities that reflect actual frequencies — if it predicts 0.8 probability for 1000 samples, roughly 800 should be positive. Measured with calibration curves (reliability diagrams). Uncalibrated models are problematic when probabilities drive decisions (e.g., risk scores, expected value calculations). Calibration methods: Platt Scaling (logistic regression over raw scores), Isotonic Regression (more flexible), Temperature Scaling (for neural networks — divide logits by learned scalar T). XGBoost and tree ensembles are often poorly calibrated out of the box.</w:t>
      </w:r>
    </w:p>
    <w:p>
      <w:pPr>
        <w:pStyle w:val="ListParagraph"/>
        <w:numPr>
          <w:ilvl w:val="0"/>
          <w:numId w:val="2"/>
        </w:numPr>
        <w:spacing w:after="60" w:before="200"/>
      </w:pPr>
      <w:r>
        <w:rPr>
          <w:rFonts w:ascii="Arial" w:cs="Arial" w:eastAsia="Arial" w:hAnsi="Arial"/>
          <w:b/>
          <w:bCs/>
          <w:color w:val="1F3864"/>
          <w:sz w:val="22"/>
          <w:szCs w:val="22"/>
        </w:rPr>
        <w:t xml:space="preserve">What is NDCG and MRR? Where are they used?</w:t>
      </w:r>
    </w:p>
    <w:p>
      <w:pPr>
        <w:spacing w:after="160" w:before="0"/>
        <w:ind w:left="360"/>
      </w:pPr>
      <w:r>
        <w:rPr>
          <w:rFonts w:ascii="Arial" w:cs="Arial" w:eastAsia="Arial" w:hAnsi="Arial"/>
          <w:color w:val="333333"/>
          <w:sz w:val="20"/>
          <w:szCs w:val="20"/>
        </w:rPr>
        <w:t xml:space="preserve">NDCG (Normalised Discounted Cumulative Gain): measures ranking quality with position-discounted relevance. A highly relevant item at position 1 contributes more than the same item at position 5. Normalised by the ideal ranking's DCG. Used for recommendation systems and search ranking evaluation. MRR (Mean Reciprocal Rank): average of 1/rank of the first relevant item across queries. Used when only the first correct result matters (QA systems, entity linking). Both are standard metrics for evaluating RAG retrieval quality and recommendation engines.</w:t>
      </w:r>
    </w:p>
    <w:p>
      <w:pPr>
        <w:pStyle w:val="Heading1"/>
        <w:pBdr>
          <w:bottom w:val="single" w:color="2E75B6" w:sz="6" w:space="1"/>
        </w:pBdr>
        <w:spacing w:after="120" w:before="360"/>
      </w:pPr>
      <w:r>
        <w:rPr>
          <w:rFonts w:ascii="Arial" w:cs="Arial" w:eastAsia="Arial" w:hAnsi="Arial"/>
          <w:b/>
          <w:bCs/>
          <w:color w:val="1F4E79"/>
          <w:sz w:val="32"/>
          <w:szCs w:val="32"/>
        </w:rPr>
        <w:t xml:space="preserve">Class Imbalance</w:t>
      </w:r>
    </w:p>
    <w:p>
      <w:pPr>
        <w:pStyle w:val="ListParagraph"/>
        <w:numPr>
          <w:ilvl w:val="0"/>
          <w:numId w:val="2"/>
        </w:numPr>
        <w:spacing w:after="60" w:before="200"/>
      </w:pPr>
      <w:r>
        <w:rPr>
          <w:rFonts w:ascii="Arial" w:cs="Arial" w:eastAsia="Arial" w:hAnsi="Arial"/>
          <w:b/>
          <w:bCs/>
          <w:color w:val="1F3864"/>
          <w:sz w:val="22"/>
          <w:szCs w:val="22"/>
        </w:rPr>
        <w:t xml:space="preserve">How do you handle severe class imbalance in ML models?</w:t>
      </w:r>
    </w:p>
    <w:p>
      <w:pPr>
        <w:spacing w:after="160" w:before="0"/>
        <w:ind w:left="360"/>
      </w:pPr>
      <w:r>
        <w:rPr>
          <w:rFonts w:ascii="Arial" w:cs="Arial" w:eastAsia="Arial" w:hAnsi="Arial"/>
          <w:color w:val="333333"/>
          <w:sz w:val="20"/>
          <w:szCs w:val="20"/>
        </w:rPr>
        <w:t xml:space="preserve">Strategies at different levels: Data level — oversampling positives (SMOTE generates synthetic minority samples via interpolation), undersampling majority, combined approaches (SMOTEENN). Algorithm level — class_weight='balanced' in sklearn/XGBoost reweights the loss inversely proportional to class frequency; adjust decision threshold using precision-recall analysis. Evaluation level — always use AUC-PR, F1, or business-specific cost-weighted metrics instead of accuracy. For deep learning: focal loss (down-weights easy negatives, up-weights hard positives) is highly effective for imbalanced detection tasks.</w:t>
      </w:r>
    </w:p>
    <w:p>
      <w:pPr>
        <w:pStyle w:val="Heading1"/>
        <w:pBdr>
          <w:bottom w:val="single" w:color="2E75B6" w:sz="6" w:space="1"/>
        </w:pBdr>
        <w:spacing w:after="120" w:before="360"/>
      </w:pPr>
      <w:r>
        <w:rPr>
          <w:rFonts w:ascii="Arial" w:cs="Arial" w:eastAsia="Arial" w:hAnsi="Arial"/>
          <w:b/>
          <w:bCs/>
          <w:color w:val="1F4E79"/>
          <w:sz w:val="32"/>
          <w:szCs w:val="32"/>
        </w:rPr>
        <w:t xml:space="preserve">Hyperparameter Tuning</w:t>
      </w:r>
    </w:p>
    <w:p>
      <w:pPr>
        <w:pStyle w:val="ListParagraph"/>
        <w:numPr>
          <w:ilvl w:val="0"/>
          <w:numId w:val="2"/>
        </w:numPr>
        <w:spacing w:after="60" w:before="200"/>
      </w:pPr>
      <w:r>
        <w:rPr>
          <w:rFonts w:ascii="Arial" w:cs="Arial" w:eastAsia="Arial" w:hAnsi="Arial"/>
          <w:b/>
          <w:bCs/>
          <w:color w:val="1F3864"/>
          <w:sz w:val="22"/>
          <w:szCs w:val="22"/>
        </w:rPr>
        <w:t xml:space="preserve">Compare grid search, random search, and Bayesian optimisation (Optuna).</w:t>
      </w:r>
    </w:p>
    <w:p>
      <w:pPr>
        <w:spacing w:after="160" w:before="0"/>
        <w:ind w:left="360"/>
      </w:pPr>
      <w:r>
        <w:rPr>
          <w:rFonts w:ascii="Arial" w:cs="Arial" w:eastAsia="Arial" w:hAnsi="Arial"/>
          <w:color w:val="333333"/>
          <w:sz w:val="20"/>
          <w:szCs w:val="20"/>
        </w:rPr>
        <w:t xml:space="preserve">Grid Search: exhaustive, covers all combinations — exponential cost with more parameters. Only practical for 2–3 parameters. Random Search: samples configurations randomly — more efficient than grid (Bergstra &amp; Bengio 2012 showed random search finds better configs in same budget when some params matter more than others). Bayesian Optimisation (Optuna, Hyperopt): builds a probabilistic model (Tree Parzen Estimator or Gaussian Process) of the objective surface, intelligently selecting next trial to balance exploration/exploitation. Most efficient for expensive evaluations (e.g., training large models). Optuna adds pruning — early-stopping unpromising trials via Successive Halving.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360" w:hanging="360"/>
      </w:pPr>
      <w:rPr>
        <w:rFonts w:ascii="Arial" w:cs="Arial" w:eastAsia="Arial" w:hAnsi="Arial"/>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2026-04-10T17:38:31.479Z</dcterms:created>
  <dcterms:modified xsi:type="dcterms:W3CDTF">2026-04-10T17:38:31.479Z</dcterms:modified>
</cp:coreProperties>
</file>

<file path=docProps/custom.xml><?xml version="1.0" encoding="utf-8"?>
<Properties xmlns="http://schemas.openxmlformats.org/officeDocument/2006/custom-properties" xmlns:vt="http://schemas.openxmlformats.org/officeDocument/2006/docPropsVTypes"/>
</file>