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8"/>
          <w:szCs w:val="48"/>
        </w:rPr>
        <w:t xml:space="preserve">Statistics &amp; Probability</w:t>
      </w:r>
    </w:p>
    <w:p>
      <w:pPr>
        <w:spacing w:after="400" w:before="0"/>
        <w:jc w:val="center"/>
      </w:pPr>
      <w:r>
        <w:rPr>
          <w:rFonts w:ascii="Arial" w:cs="Arial" w:eastAsia="Arial" w:hAnsi="Arial"/>
          <w:i/>
          <w:iCs/>
          <w:color w:val="888888"/>
          <w:sz w:val="26"/>
          <w:szCs w:val="26"/>
        </w:rPr>
        <w:t xml:space="preserve">Interview Q&amp;A — Deep Dive</w:t>
      </w:r>
    </w:p>
    <w:p>
      <w:pPr>
        <w:pStyle w:val="Heading1"/>
        <w:pBdr>
          <w:bottom w:val="single" w:color="2E75B6" w:sz="6" w:space="1"/>
        </w:pBdr>
        <w:spacing w:after="120" w:before="360"/>
      </w:pPr>
      <w:r>
        <w:rPr>
          <w:rFonts w:ascii="Arial" w:cs="Arial" w:eastAsia="Arial" w:hAnsi="Arial"/>
          <w:b/>
          <w:bCs/>
          <w:color w:val="1F4E79"/>
          <w:sz w:val="32"/>
          <w:szCs w:val="32"/>
        </w:rPr>
        <w:t xml:space="preserve">Core Probability</w:t>
      </w:r>
    </w:p>
    <w:p>
      <w:pPr>
        <w:pStyle w:val="ListParagraph"/>
        <w:numPr>
          <w:ilvl w:val="0"/>
          <w:numId w:val="2"/>
        </w:numPr>
        <w:spacing w:after="60" w:before="200"/>
      </w:pPr>
      <w:r>
        <w:rPr>
          <w:rFonts w:ascii="Arial" w:cs="Arial" w:eastAsia="Arial" w:hAnsi="Arial"/>
          <w:b/>
          <w:bCs/>
          <w:color w:val="1F3864"/>
          <w:sz w:val="22"/>
          <w:szCs w:val="22"/>
        </w:rPr>
        <w:t xml:space="preserve">Explain Bayes' Theorem and its use in ML.</w:t>
      </w:r>
    </w:p>
    <w:p>
      <w:pPr>
        <w:spacing w:after="160" w:before="0"/>
        <w:ind w:left="360"/>
      </w:pPr>
      <w:r>
        <w:rPr>
          <w:rFonts w:ascii="Arial" w:cs="Arial" w:eastAsia="Arial" w:hAnsi="Arial"/>
          <w:color w:val="333333"/>
          <w:sz w:val="20"/>
          <w:szCs w:val="20"/>
        </w:rPr>
        <w:t xml:space="preserve">Bayes' Theorem: P(A|B) = P(B|A) * P(A) / P(B). In ML: Naive Bayes classification computes P(class | features) ∝ P(features | class) * P(class). In Bayesian ML: P(θ|data) ∝ P(data|θ) * P(θ) — the posterior over parameters combines the likelihood with a prior (encoding domain knowledge or regularisation). This framework naturally handles uncertainty quantification. Bayesian hyperparameter optimisation (TPE in Optuna) uses Bayes' theorem to model which hyperparameter configurations are likely to perform well given past trials.</w:t>
      </w:r>
    </w:p>
    <w:p>
      <w:pPr>
        <w:pStyle w:val="ListParagraph"/>
        <w:numPr>
          <w:ilvl w:val="0"/>
          <w:numId w:val="2"/>
        </w:numPr>
        <w:spacing w:after="60" w:before="200"/>
      </w:pPr>
      <w:r>
        <w:rPr>
          <w:rFonts w:ascii="Arial" w:cs="Arial" w:eastAsia="Arial" w:hAnsi="Arial"/>
          <w:b/>
          <w:bCs/>
          <w:color w:val="1F3864"/>
          <w:sz w:val="22"/>
          <w:szCs w:val="22"/>
        </w:rPr>
        <w:t xml:space="preserve">What is the Central Limit Theorem and why is it fundamental to ML?</w:t>
      </w:r>
    </w:p>
    <w:p>
      <w:pPr>
        <w:spacing w:after="160" w:before="0"/>
        <w:ind w:left="360"/>
      </w:pPr>
      <w:r>
        <w:rPr>
          <w:rFonts w:ascii="Arial" w:cs="Arial" w:eastAsia="Arial" w:hAnsi="Arial"/>
          <w:color w:val="333333"/>
          <w:sz w:val="20"/>
          <w:szCs w:val="20"/>
        </w:rPr>
        <w:t xml:space="preserve">CLT states that the sampling distribution of the sample mean approaches a normal distribution as sample size increases, regardless of the population distribution (given finite variance). Fundamental to ML because: (1) Statistical hypothesis tests (t-test, z-test) assume normality of sample statistics — CLT justifies this for large N. (2) A/B test significance analysis relies on CLT to compute p-values for metric differences. (3) SGD gradient estimates (averages of per-sample gradients) are approximately Gaussian for large batch sizes, which is why Gaussian noise in DP-SGD is well-calibrated.</w:t>
      </w:r>
    </w:p>
    <w:p>
      <w:pPr>
        <w:pStyle w:val="Heading1"/>
        <w:pBdr>
          <w:bottom w:val="single" w:color="2E75B6" w:sz="6" w:space="1"/>
        </w:pBdr>
        <w:spacing w:after="120" w:before="360"/>
      </w:pPr>
      <w:r>
        <w:rPr>
          <w:rFonts w:ascii="Arial" w:cs="Arial" w:eastAsia="Arial" w:hAnsi="Arial"/>
          <w:b/>
          <w:bCs/>
          <w:color w:val="1F4E79"/>
          <w:sz w:val="32"/>
          <w:szCs w:val="32"/>
        </w:rPr>
        <w:t xml:space="preserve">Hypothesis Testing</w:t>
      </w:r>
    </w:p>
    <w:p>
      <w:pPr>
        <w:pStyle w:val="ListParagraph"/>
        <w:numPr>
          <w:ilvl w:val="0"/>
          <w:numId w:val="2"/>
        </w:numPr>
        <w:spacing w:after="60" w:before="200"/>
      </w:pPr>
      <w:r>
        <w:rPr>
          <w:rFonts w:ascii="Arial" w:cs="Arial" w:eastAsia="Arial" w:hAnsi="Arial"/>
          <w:b/>
          <w:bCs/>
          <w:color w:val="1F3864"/>
          <w:sz w:val="22"/>
          <w:szCs w:val="22"/>
        </w:rPr>
        <w:t xml:space="preserve">Explain p-value, Type I error, Type II error, and statistical power.</w:t>
      </w:r>
    </w:p>
    <w:p>
      <w:pPr>
        <w:spacing w:after="160" w:before="0"/>
        <w:ind w:left="360"/>
      </w:pPr>
      <w:r>
        <w:rPr>
          <w:rFonts w:ascii="Arial" w:cs="Arial" w:eastAsia="Arial" w:hAnsi="Arial"/>
          <w:color w:val="333333"/>
          <w:sz w:val="20"/>
          <w:szCs w:val="20"/>
        </w:rPr>
        <w:t xml:space="preserve">p-value: probability of observing data at least as extreme as measured, assuming the null hypothesis is true. Not the probability that H0 is true. Type I error (α): false positive — rejecting H0 when it is true. Controlled by significance threshold (α = 0.05 means 5% chance of false positive). Type II error (β): false negative — failing to reject H0 when it is false. Statistical power (1-β): probability of correctly detecting a real effect. Power depends on effect size, sample size, and α. For A/B tests: run a power analysis before the test to determine required sample size — underpowered tests produce unreliable results even with significant p-values.</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frequentist and Bayesian inference?</w:t>
      </w:r>
    </w:p>
    <w:p>
      <w:pPr>
        <w:spacing w:after="160" w:before="0"/>
        <w:ind w:left="360"/>
      </w:pPr>
      <w:r>
        <w:rPr>
          <w:rFonts w:ascii="Arial" w:cs="Arial" w:eastAsia="Arial" w:hAnsi="Arial"/>
          <w:color w:val="333333"/>
          <w:sz w:val="20"/>
          <w:szCs w:val="20"/>
        </w:rPr>
        <w:t xml:space="preserve">Frequentist: parameters are fixed unknowns; probability represents long-run frequency. Makes point estimates (MLE) and uses confidence intervals (which are often misinterpreted). Bayesian: parameters have probability distributions; probability represents degree of belief. Prior + data → posterior. Provides credible intervals (e.g., 'there is 95% probability the true value is in this interval' — the intuitive interpretation people mistakenly apply to frequentist CIs). For ML: MLE training is frequentist; Bayesian neural networks and GP models are Bayesian and provide uncertainty estimates naturally.</w:t>
      </w:r>
    </w:p>
    <w:p>
      <w:pPr>
        <w:pStyle w:val="Heading1"/>
        <w:pBdr>
          <w:bottom w:val="single" w:color="2E75B6" w:sz="6" w:space="1"/>
        </w:pBdr>
        <w:spacing w:after="120" w:before="360"/>
      </w:pPr>
      <w:r>
        <w:rPr>
          <w:rFonts w:ascii="Arial" w:cs="Arial" w:eastAsia="Arial" w:hAnsi="Arial"/>
          <w:b/>
          <w:bCs/>
          <w:color w:val="1F4E79"/>
          <w:sz w:val="32"/>
          <w:szCs w:val="32"/>
        </w:rPr>
        <w:t xml:space="preserve">Distributions</w:t>
      </w:r>
    </w:p>
    <w:p>
      <w:pPr>
        <w:pStyle w:val="ListParagraph"/>
        <w:numPr>
          <w:ilvl w:val="0"/>
          <w:numId w:val="2"/>
        </w:numPr>
        <w:spacing w:after="60" w:before="200"/>
      </w:pPr>
      <w:r>
        <w:rPr>
          <w:rFonts w:ascii="Arial" w:cs="Arial" w:eastAsia="Arial" w:hAnsi="Arial"/>
          <w:b/>
          <w:bCs/>
          <w:color w:val="1F3864"/>
          <w:sz w:val="22"/>
          <w:szCs w:val="22"/>
        </w:rPr>
        <w:t xml:space="preserve">Explain when to use Gaussian, Bernoulli, Poisson, and Beta distributions in ML.</w:t>
      </w:r>
    </w:p>
    <w:p>
      <w:pPr>
        <w:spacing w:after="160" w:before="0"/>
        <w:ind w:left="360"/>
      </w:pPr>
      <w:r>
        <w:rPr>
          <w:rFonts w:ascii="Arial" w:cs="Arial" w:eastAsia="Arial" w:hAnsi="Arial"/>
          <w:color w:val="333333"/>
          <w:sz w:val="20"/>
          <w:szCs w:val="20"/>
        </w:rPr>
        <w:t xml:space="preserve">Gaussian (Normal): continuous features, errors, and noise. Assumption in linear regression residuals, many statistical tests. Bernoulli: binary outcomes (0/1) — models single binary events (click/no-click, fraud/not). Logistic regression models the Bernoulli parameter. Poisson: count data — models the number of events in a fixed time interval (number of transactions per hour, server requests per minute). Assumption: events are independent and occur at a constant rate. Beta: probability values in [0,1]. Conjugate prior for the Bernoulli/Binomial likelihood in Bayesian inference. Used in Thompson Sampling for multi-armed bandits and click-through rate modelling.</w:t>
      </w:r>
    </w:p>
    <w:p>
      <w:pPr>
        <w:pStyle w:val="Heading1"/>
        <w:pBdr>
          <w:bottom w:val="single" w:color="2E75B6" w:sz="6" w:space="1"/>
        </w:pBdr>
        <w:spacing w:after="120" w:before="360"/>
      </w:pPr>
      <w:r>
        <w:rPr>
          <w:rFonts w:ascii="Arial" w:cs="Arial" w:eastAsia="Arial" w:hAnsi="Arial"/>
          <w:b/>
          <w:bCs/>
          <w:color w:val="1F4E79"/>
          <w:sz w:val="32"/>
          <w:szCs w:val="32"/>
        </w:rPr>
        <w:t xml:space="preserve">Dimensionality &amp; PCA</w:t>
      </w:r>
    </w:p>
    <w:p>
      <w:pPr>
        <w:pStyle w:val="ListParagraph"/>
        <w:numPr>
          <w:ilvl w:val="0"/>
          <w:numId w:val="2"/>
        </w:numPr>
        <w:spacing w:after="60" w:before="200"/>
      </w:pPr>
      <w:r>
        <w:rPr>
          <w:rFonts w:ascii="Arial" w:cs="Arial" w:eastAsia="Arial" w:hAnsi="Arial"/>
          <w:b/>
          <w:bCs/>
          <w:color w:val="1F3864"/>
          <w:sz w:val="22"/>
          <w:szCs w:val="22"/>
        </w:rPr>
        <w:t xml:space="preserve">Explain PCA intuitively. What is the role of eigenvalues and eigenvectors?</w:t>
      </w:r>
    </w:p>
    <w:p>
      <w:pPr>
        <w:spacing w:after="160" w:before="0"/>
        <w:ind w:left="360"/>
      </w:pPr>
      <w:r>
        <w:rPr>
          <w:rFonts w:ascii="Arial" w:cs="Arial" w:eastAsia="Arial" w:hAnsi="Arial"/>
          <w:color w:val="333333"/>
          <w:sz w:val="20"/>
          <w:szCs w:val="20"/>
        </w:rPr>
        <w:t xml:space="preserve">PCA finds the directions (principal components) of maximum variance in the data. Mathematically: compute the covariance matrix of the centred data; eigenvectors are the principal component directions; eigenvalues represent the variance explained by each component. Project data onto the top-k eigenvectors to reduce dimensionality while retaining maximum variance. Intuition: PCA rotates the coordinate system so the first axis captures the most spread, second axis the next most (orthogonal), etc. Use cases in ML: visualisation (t-SNE/UMAP are non-linear alternatives), noise reduction, and decorrelating features for downstream models.</w:t>
      </w:r>
    </w:p>
    <w:p>
      <w:pPr>
        <w:pStyle w:val="Heading1"/>
        <w:pBdr>
          <w:bottom w:val="single" w:color="2E75B6" w:sz="6" w:space="1"/>
        </w:pBdr>
        <w:spacing w:after="120" w:before="360"/>
      </w:pPr>
      <w:r>
        <w:rPr>
          <w:rFonts w:ascii="Arial" w:cs="Arial" w:eastAsia="Arial" w:hAnsi="Arial"/>
          <w:b/>
          <w:bCs/>
          <w:color w:val="1F4E79"/>
          <w:sz w:val="32"/>
          <w:szCs w:val="32"/>
        </w:rPr>
        <w:t xml:space="preserve">Resampling &amp; Confidence Intervals</w:t>
      </w:r>
    </w:p>
    <w:p>
      <w:pPr>
        <w:pStyle w:val="ListParagraph"/>
        <w:numPr>
          <w:ilvl w:val="0"/>
          <w:numId w:val="2"/>
        </w:numPr>
        <w:spacing w:after="60" w:before="200"/>
      </w:pPr>
      <w:r>
        <w:rPr>
          <w:rFonts w:ascii="Arial" w:cs="Arial" w:eastAsia="Arial" w:hAnsi="Arial"/>
          <w:b/>
          <w:bCs/>
          <w:color w:val="1F3864"/>
          <w:sz w:val="22"/>
          <w:szCs w:val="22"/>
        </w:rPr>
        <w:t xml:space="preserve">What is bootstrap sampling and how is it used for confidence intervals in ML?</w:t>
      </w:r>
    </w:p>
    <w:p>
      <w:pPr>
        <w:spacing w:after="160" w:before="0"/>
        <w:ind w:left="360"/>
      </w:pPr>
      <w:r>
        <w:rPr>
          <w:rFonts w:ascii="Arial" w:cs="Arial" w:eastAsia="Arial" w:hAnsi="Arial"/>
          <w:color w:val="333333"/>
          <w:sz w:val="20"/>
          <w:szCs w:val="20"/>
        </w:rPr>
        <w:t xml:space="preserve">Bootstrap: repeatedly sample N observations with replacement from the dataset (generating B bootstrap samples), compute the statistic of interest (e.g., model accuracy) on each sample. The distribution of these B estimates approximates the sampling distribution. Confidence interval: take the 2.5th and 97.5th percentiles of the bootstrap distribution (percentile method). Use in ML: confidence intervals for model evaluation metrics when test set is small, measuring uncertainty in A/B test uplift estimates, and ensemble methods (bagging trains each model on a bootstrap sample — Random Forest).</w:t>
      </w:r>
    </w:p>
    <w:p>
      <w:pPr>
        <w:pStyle w:val="Heading1"/>
        <w:pBdr>
          <w:bottom w:val="single" w:color="2E75B6" w:sz="6" w:space="1"/>
        </w:pBdr>
        <w:spacing w:after="120" w:before="360"/>
      </w:pPr>
      <w:r>
        <w:rPr>
          <w:rFonts w:ascii="Arial" w:cs="Arial" w:eastAsia="Arial" w:hAnsi="Arial"/>
          <w:b/>
          <w:bCs/>
          <w:color w:val="1F4E79"/>
          <w:sz w:val="32"/>
          <w:szCs w:val="32"/>
        </w:rPr>
        <w:t xml:space="preserve">MLE &amp; MAP</w:t>
      </w:r>
    </w:p>
    <w:p>
      <w:pPr>
        <w:pStyle w:val="ListParagraph"/>
        <w:numPr>
          <w:ilvl w:val="0"/>
          <w:numId w:val="2"/>
        </w:numPr>
        <w:spacing w:after="60" w:before="200"/>
      </w:pPr>
      <w:r>
        <w:rPr>
          <w:rFonts w:ascii="Arial" w:cs="Arial" w:eastAsia="Arial" w:hAnsi="Arial"/>
          <w:b/>
          <w:bCs/>
          <w:color w:val="1F3864"/>
          <w:sz w:val="22"/>
          <w:szCs w:val="22"/>
        </w:rPr>
        <w:t xml:space="preserve">Explain Maximum Likelihood Estimation (MLE) vs Maximum A Posteriori (MAP).</w:t>
      </w:r>
    </w:p>
    <w:p>
      <w:pPr>
        <w:spacing w:after="160" w:before="0"/>
        <w:ind w:left="360"/>
      </w:pPr>
      <w:r>
        <w:rPr>
          <w:rFonts w:ascii="Arial" w:cs="Arial" w:eastAsia="Arial" w:hAnsi="Arial"/>
          <w:color w:val="333333"/>
          <w:sz w:val="20"/>
          <w:szCs w:val="20"/>
        </w:rPr>
        <w:t xml:space="preserve">MLE: finds parameters θ that maximise the likelihood P(data|θ) — equivalently, minimise negative log-likelihood. No prior on parameters. For Gaussian errors, MLE = least squares regression. MAP: finds θ that maximises the posterior P(θ|data) ∝ P(data|θ) * P(θ). Equivalent to MLE with regularisation: a Gaussian prior on θ → L2 regularisation (Ridge); a Laplace prior → L1 regularisation (Lasso). This is the deep connection between Bayesian inference and regularisation: adding a prior to MLE is equivalent to adding a regularisation penalty.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360" w:hanging="360"/>
      </w:pPr>
      <w:rPr>
        <w:rFonts w:ascii="Arial" w:cs="Arial" w:eastAsia="Arial" w:hAnsi="Arial"/>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2026-04-10T17:41:02.167Z</dcterms:created>
  <dcterms:modified xsi:type="dcterms:W3CDTF">2026-04-10T17:41:02.168Z</dcterms:modified>
</cp:coreProperties>
</file>

<file path=docProps/custom.xml><?xml version="1.0" encoding="utf-8"?>
<Properties xmlns="http://schemas.openxmlformats.org/officeDocument/2006/custom-properties" xmlns:vt="http://schemas.openxmlformats.org/officeDocument/2006/docPropsVTypes"/>
</file>