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Use-Case Flow Specification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Domain &amp; SSL Certificate Expiry Alert System — PES1UG24CS126 — Problem Statement #47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 Case: </w:t>
      </w:r>
      <w:r>
        <w:rPr>
          <w:rFonts w:ascii="Calibri" w:cs="Calibri" w:eastAsia="Calibri" w:hAnsi="Calibri"/>
          <w:sz w:val="22"/>
          <w:szCs w:val="22"/>
        </w:rPr>
        <w:t xml:space="preserve">Perform Daily Scan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Actors: </w:t>
      </w:r>
      <w:r>
        <w:rPr>
          <w:rFonts w:ascii="Calibri" w:cs="Calibri" w:eastAsia="Calibri" w:hAnsi="Calibri"/>
          <w:sz w:val="20"/>
          <w:szCs w:val="20"/>
        </w:rPr>
        <w:t xml:space="preserve">SysAdmin (configures schedule), System (executes scan)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Includes: </w:t>
      </w:r>
      <w:r>
        <w:rPr>
          <w:rFonts w:ascii="Calibri" w:cs="Calibri" w:eastAsia="Calibri" w:hAnsi="Calibri"/>
          <w:sz w:val="20"/>
          <w:szCs w:val="20"/>
        </w:rPr>
        <w:t xml:space="preserve">Check SSL &amp; Domain Expiry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Preconditions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• At least one domain/endpoint exists in the monitored list (see Configure Monitored Domains).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• The scanning engine has network connectivity to perform outbound WHOIS queries and TLS handshakes.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• The daily scan schedule is configured and active.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Postconditions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Success: Every monitored domain and endpoint has an updated expiry record (domain registration date, certificate expiry date) and a status of OK, Warning, Critical, or Expired.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Failure (partial): Domains/endpoints that could not be reached are flagged with a "scan failed" status and retained at their last known status rather than being silently dropped.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Main Success Scenario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1. The scheduler triggers “Perform Daily Scan” at the configured time.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2. The system retrieves the full list of monitored domains and endpoints.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3. For each entry, the system executes the included use case Check SSL &amp; Domain Expiry: (a) performs a WHOIS lookup and extracts the domain registration expiry date; (b) initiates a TLS handshake and extracts the certificate expiry date.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4. The system computes days-remaining for both the domain and the certificate and classifies each as OK, Warning (≤30 days), Critical (≤3 days), or Expired.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5. The system persists the updated status for each entry and timestamps the scan.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6. The system passes any entry crossing an alert threshold (30/15/3 days for certificates, 30/15/7 days for domains) to the alerting pipeline (see Send Alert).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7. The system confirms scan completion and updates the dashboard's “last scanned” timestamp.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Alternate Flow A1: Endpoint Unreachable During Scan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Triggered at step 3 if a TLS handshake or WHOIS lookup times out or fails.</w:t>
      </w:r>
    </w:p>
    <w:p>
      <w:pPr>
        <w:spacing w:after="30"/>
        <w:ind w:left="540"/>
      </w:pPr>
      <w:r>
        <w:rPr>
          <w:rFonts w:ascii="Calibri" w:cs="Calibri" w:eastAsia="Calibri" w:hAnsi="Calibri"/>
          <w:sz w:val="20"/>
          <w:szCs w:val="20"/>
        </w:rPr>
        <w:t xml:space="preserve">A1.1 — The system logs the failure reason (timeout, connection refused, DNS resolution failure, etc.) against that entry.</w:t>
      </w:r>
    </w:p>
    <w:p>
      <w:pPr>
        <w:spacing w:after="30"/>
        <w:ind w:left="540"/>
      </w:pPr>
      <w:r>
        <w:rPr>
          <w:rFonts w:ascii="Calibri" w:cs="Calibri" w:eastAsia="Calibri" w:hAnsi="Calibri"/>
          <w:sz w:val="20"/>
          <w:szCs w:val="20"/>
        </w:rPr>
        <w:t xml:space="preserve">A1.2 — The system retains the entry's last known status rather than overwriting it with an error state.</w:t>
      </w:r>
    </w:p>
    <w:p>
      <w:pPr>
        <w:spacing w:after="30"/>
        <w:ind w:left="540"/>
      </w:pPr>
      <w:r>
        <w:rPr>
          <w:rFonts w:ascii="Calibri" w:cs="Calibri" w:eastAsia="Calibri" w:hAnsi="Calibri"/>
          <w:sz w:val="20"/>
          <w:szCs w:val="20"/>
        </w:rPr>
        <w:t xml:space="preserve">A1.3 — The system flags the entry as “scan failed” on the dashboard for SysAdmin visibility.</w:t>
      </w:r>
    </w:p>
    <w:p>
      <w:pPr>
        <w:spacing w:after="30"/>
        <w:ind w:left="540"/>
      </w:pPr>
      <w:r>
        <w:rPr>
          <w:rFonts w:ascii="Calibri" w:cs="Calibri" w:eastAsia="Calibri" w:hAnsi="Calibri"/>
          <w:sz w:val="20"/>
          <w:szCs w:val="20"/>
        </w:rPr>
        <w:t xml:space="preserve">A1.4 — The system continues scanning the remaining entries in the list (a single failure does not halt the batch).</w:t>
      </w:r>
    </w:p>
    <w:p>
      <w:pPr>
        <w:spacing w:after="30"/>
        <w:ind w:left="540"/>
      </w:pPr>
      <w:r>
        <w:rPr>
          <w:rFonts w:ascii="Calibri" w:cs="Calibri" w:eastAsia="Calibri" w:hAnsi="Calibri"/>
          <w:sz w:val="20"/>
          <w:szCs w:val="20"/>
        </w:rPr>
        <w:t xml:space="preserve">A1.5 — Resume at step 4 of the main flow for all other entries.</w:t>
      </w:r>
    </w:p>
    <w:p>
      <w:pPr>
        <w:spacing w:before="1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Performance note: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Per NFR-001, the full batch (up to 1,000 domains/endpoints) must complete within 3 minutes; scans are parallelized across entries to meet this bound.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2026-08-25T05:47:51.291Z</dcterms:created>
  <dcterms:modified xsi:type="dcterms:W3CDTF">2026-08-25T05:47:51.301Z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