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96802b1ab4caee519d0bc39d4e933e303ba6b67"/>
    <w:p>
      <w:pPr>
        <w:pStyle w:val="Heading1"/>
      </w:pPr>
      <w:r>
        <w:t xml:space="preserve">Brief for the reviewer — Chatvia Data Processing Agreement</w:t>
      </w:r>
    </w:p>
    <w:p>
      <w:pPr>
        <w:pStyle w:val="FirstParagraph"/>
      </w:pPr>
      <w:r>
        <w:rPr>
          <w:b/>
          <w:bCs/>
        </w:rPr>
        <w:t xml:space="preserve">Prepared 9 June 2026 · for legal review</w:t>
      </w:r>
    </w:p>
    <w:bookmarkStart w:id="9" w:name="who-we-are"/>
    <w:p>
      <w:pPr>
        <w:pStyle w:val="Heading2"/>
      </w:pPr>
      <w:r>
        <w:t xml:space="preserve">Who we are</w:t>
      </w:r>
    </w:p>
    <w:p>
      <w:pPr>
        <w:pStyle w:val="FirstParagraph"/>
      </w:pPr>
      <w:r>
        <w:rPr>
          <w:b/>
          <w:bCs/>
        </w:rPr>
        <w:t xml:space="preserve">Akkadian</w:t>
      </w:r>
      <w:r>
        <w:t xml:space="preserve"> </w:t>
      </w:r>
      <w:r>
        <w:t xml:space="preserve">(CVR/VAT 35709738), Skovbrynet 50, 1 tv, Næstved, Denmark. We operate</w:t>
      </w:r>
      <w:r>
        <w:t xml:space="preserve"> </w:t>
      </w:r>
      <w:r>
        <w:rPr>
          <w:b/>
          <w:bCs/>
        </w:rPr>
        <w:t xml:space="preserve">Chatvia</w:t>
      </w:r>
      <w:r>
        <w:t xml:space="preserve"> </w:t>
      </w:r>
      <w:r>
        <w:t xml:space="preserve">(chatvia.ai), an embeddable AI chatbot / agent SaaS. We are a small, founder-led company.</w:t>
      </w:r>
    </w:p>
    <w:bookmarkEnd w:id="9"/>
    <w:bookmarkStart w:id="10" w:name="what-we-are-asking-you-to-do"/>
    <w:p>
      <w:pPr>
        <w:pStyle w:val="Heading2"/>
      </w:pPr>
      <w:r>
        <w:t xml:space="preserve">What we are asking you to do</w:t>
      </w:r>
    </w:p>
    <w:p>
      <w:pPr>
        <w:pStyle w:val="FirstParagraph"/>
      </w:pPr>
      <w:r>
        <w:t xml:space="preserve">Please review the attached</w:t>
      </w:r>
      <w:r>
        <w:t xml:space="preserve"> </w:t>
      </w:r>
      <w:r>
        <w:rPr>
          <w:b/>
          <w:bCs/>
        </w:rPr>
        <w:t xml:space="preserve">Data Processing Agreement (DPA)</w:t>
      </w:r>
      <w:r>
        <w:t xml:space="preserve"> </w:t>
      </w:r>
      <w:r>
        <w:t xml:space="preserve">— our Article 28 GDPR processor agreement that customers will sign — and confirm it is legally sufficient, enforceable, and balanced for Akkadian under</w:t>
      </w:r>
      <w:r>
        <w:t xml:space="preserve"> </w:t>
      </w:r>
      <w:r>
        <w:rPr>
          <w:b/>
          <w:bCs/>
        </w:rPr>
        <w:t xml:space="preserve">Danish and EU law</w:t>
      </w:r>
      <w:r>
        <w:t xml:space="preserve">. Please flag any gaps and any terms that over-expose us. Track-changes are welcome.</w:t>
      </w:r>
    </w:p>
    <w:bookmarkEnd w:id="10"/>
    <w:bookmarkStart w:id="11" w:name="our-role-and-data-flows"/>
    <w:p>
      <w:pPr>
        <w:pStyle w:val="Heading2"/>
      </w:pPr>
      <w:r>
        <w:t xml:space="preserve">Our role and data flows</w:t>
      </w:r>
    </w:p>
    <w:p>
      <w:pPr>
        <w:pStyle w:val="Compact"/>
        <w:numPr>
          <w:ilvl w:val="0"/>
          <w:numId w:val="1001"/>
        </w:numPr>
      </w:pPr>
      <w:r>
        <w:t xml:space="preserve">Chatvia is a</w:t>
      </w:r>
      <w:r>
        <w:t xml:space="preserve"> </w:t>
      </w:r>
      <w:r>
        <w:rPr>
          <w:b/>
          <w:bCs/>
        </w:rPr>
        <w:t xml:space="preserve">data processor</w:t>
      </w:r>
      <w:r>
        <w:t xml:space="preserve">; our customers (businesses that embed our chat widget on their websites) are the</w:t>
      </w:r>
      <w:r>
        <w:t xml:space="preserve"> </w:t>
      </w:r>
      <w:r>
        <w:rPr>
          <w:b/>
          <w:bCs/>
        </w:rPr>
        <w:t xml:space="preserve">controllers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widget collects personal data from the customer’s website visitors: contact details (</w:t>
      </w:r>
      <w:r>
        <w:t xml:space="preserve">“Leads”</w:t>
      </w:r>
      <w:r>
        <w:t xml:space="preserve">), free-text conversation transcripts, uploaded knowledge-base documents, and vector embeddings derived from these.</w:t>
      </w:r>
    </w:p>
    <w:p>
      <w:pPr>
        <w:pStyle w:val="Compact"/>
        <w:numPr>
          <w:ilvl w:val="0"/>
          <w:numId w:val="1001"/>
        </w:numPr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 customer data to train AI models. We run open-weight models for inference only.</w:t>
      </w:r>
    </w:p>
    <w:p>
      <w:pPr>
        <w:pStyle w:val="Compact"/>
        <w:numPr>
          <w:ilvl w:val="0"/>
          <w:numId w:val="1001"/>
        </w:numPr>
      </w:pPr>
      <w:r>
        <w:t xml:space="preserve">Retention is plan-based (90 / 180 / 366 days), enforced by automated deletion jobs.</w:t>
      </w:r>
    </w:p>
    <w:bookmarkEnd w:id="11"/>
    <w:bookmarkStart w:id="12" w:name="Xaa0dbc27d2dc7a0fdbe379949404e184e0a8daa"/>
    <w:p>
      <w:pPr>
        <w:pStyle w:val="Heading2"/>
      </w:pPr>
      <w:r>
        <w:t xml:space="preserve">Sub-processors (all EU except Stripe’s US parent)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Sub-processor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Country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Hetzner</w:t>
            </w:r>
          </w:p>
        </w:tc>
        <w:tc>
          <w:tcPr/>
          <w:p>
            <w:pPr>
              <w:pStyle w:val="Compact"/>
            </w:pPr>
            <w:r>
              <w:t xml:space="preserve">Compute, PostgreSQL database, Redis</w:t>
            </w:r>
          </w:p>
        </w:tc>
        <w:tc>
          <w:tcPr/>
          <w:p>
            <w:pPr>
              <w:pStyle w:val="Compact"/>
            </w:pPr>
            <w:r>
              <w:t xml:space="preserve">Germany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Scaleway</w:t>
            </w:r>
          </w:p>
        </w:tc>
        <w:tc>
          <w:tcPr/>
          <w:p>
            <w:pPr>
              <w:pStyle w:val="Compact"/>
            </w:pPr>
            <w:r>
              <w:t xml:space="preserve">AI inference, object storage, backups, email</w:t>
            </w:r>
          </w:p>
        </w:tc>
        <w:tc>
          <w:tcPr/>
          <w:p>
            <w:pPr>
              <w:pStyle w:val="Compact"/>
            </w:pPr>
            <w:r>
              <w:t xml:space="preserve">France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</w:t>
            </w:r>
          </w:p>
        </w:tc>
        <w:tc>
          <w:tcPr/>
          <w:p>
            <w:pPr>
              <w:pStyle w:val="Compact"/>
            </w:pPr>
            <w:r>
              <w:t xml:space="preserve">Billing &amp; payments</w:t>
            </w:r>
          </w:p>
        </w:tc>
        <w:tc>
          <w:tcPr/>
          <w:p>
            <w:pPr>
              <w:pStyle w:val="Compact"/>
            </w:pPr>
            <w:r>
              <w:t xml:space="preserve">Ireland (+ US parent — SCCs)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Bunny.net (BunnyCDN)</w:t>
            </w:r>
          </w:p>
        </w:tc>
        <w:tc>
          <w:tcPr/>
          <w:p>
            <w:pPr>
              <w:pStyle w:val="Compact"/>
            </w:pPr>
            <w:r>
              <w:t xml:space="preserve">CDN / widget delivery</w:t>
            </w:r>
          </w:p>
        </w:tc>
        <w:tc>
          <w:tcPr/>
          <w:p>
            <w:pPr>
              <w:pStyle w:val="Compact"/>
            </w:pPr>
            <w:r>
              <w:t xml:space="preserve">Slovenia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Plausible</w:t>
            </w:r>
          </w:p>
        </w:tc>
        <w:tc>
          <w:tcPr/>
          <w:p>
            <w:pPr>
              <w:pStyle w:val="Compact"/>
            </w:pPr>
            <w:r>
              <w:t xml:space="preserve">Privacy-friendly analytics</w:t>
            </w:r>
          </w:p>
        </w:tc>
        <w:tc>
          <w:tcPr/>
          <w:p>
            <w:pPr>
              <w:pStyle w:val="Compact"/>
            </w:pPr>
            <w:r>
              <w:t xml:space="preserve">Estonia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Flare</w:t>
            </w:r>
          </w:p>
        </w:tc>
        <w:tc>
          <w:tcPr/>
          <w:p>
            <w:pPr>
              <w:pStyle w:val="Compact"/>
            </w:pPr>
            <w:r>
              <w:t xml:space="preserve">Error monitoring</w:t>
            </w:r>
          </w:p>
        </w:tc>
        <w:tc>
          <w:tcPr/>
          <w:p>
            <w:pPr>
              <w:pStyle w:val="Compact"/>
            </w:pPr>
            <w:r>
              <w:t xml:space="preserve">Belgium</w:t>
            </w:r>
          </w:p>
        </w:tc>
      </w:tr>
    </w:tbl>
    <w:p>
      <w:pPr>
        <w:pStyle w:val="BodyText"/>
      </w:pPr>
      <w:r>
        <w:t xml:space="preserve">All core processing stays within the EU/EEA.</w:t>
      </w:r>
    </w:p>
    <w:bookmarkEnd w:id="12"/>
    <w:bookmarkStart w:id="13" w:name="please-confirm-or-advise-on"/>
    <w:p>
      <w:pPr>
        <w:pStyle w:val="Heading2"/>
      </w:pPr>
      <w:r>
        <w:t xml:space="preserve">Please confirm or advise on</w:t>
      </w:r>
    </w:p>
    <w:p>
      <w:pPr>
        <w:pStyle w:val="Compact"/>
        <w:numPr>
          <w:ilvl w:val="0"/>
          <w:numId w:val="1002"/>
        </w:numPr>
      </w:pPr>
      <w:r>
        <w:t xml:space="preserve">All eight</w:t>
      </w:r>
      <w:r>
        <w:t xml:space="preserve"> </w:t>
      </w:r>
      <w:r>
        <w:rPr>
          <w:b/>
          <w:bCs/>
        </w:rPr>
        <w:t xml:space="preserve">Art. 28(3)(a)–(h)</w:t>
      </w:r>
      <w:r>
        <w:t xml:space="preserve"> </w:t>
      </w:r>
      <w:r>
        <w:t xml:space="preserve">processor obligations are present and adequately drafted.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sub-processor</w:t>
      </w:r>
      <w:r>
        <w:t xml:space="preserve"> </w:t>
      </w:r>
      <w:r>
        <w:t xml:space="preserve">mechanism (general authorisation + 30-day advance notice + objection right) is enforceable.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international-transfer</w:t>
      </w:r>
      <w:r>
        <w:t xml:space="preserve"> </w:t>
      </w:r>
      <w:r>
        <w:t xml:space="preserve">wording (SCCs for the Stripe US leg) is correct and sufficient — and whether a transfer impact assessment is needed.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Liability, indemnity, and audit rights</w:t>
      </w:r>
      <w:r>
        <w:t xml:space="preserve"> </w:t>
      </w:r>
      <w:r>
        <w:t xml:space="preserve">are balanced and do not over-expose a small company.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Annex 2 (security measures)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Annex 3 (sub-processors)</w:t>
      </w:r>
      <w:r>
        <w:t xml:space="preserve"> </w:t>
      </w:r>
      <w:r>
        <w:t xml:space="preserve">describe our setup accurately and safely.</w:t>
      </w:r>
    </w:p>
    <w:p>
      <w:pPr>
        <w:pStyle w:val="Compact"/>
        <w:numPr>
          <w:ilvl w:val="0"/>
          <w:numId w:val="1002"/>
        </w:numPr>
      </w:pPr>
      <w:r>
        <w:t xml:space="preserve">Consistency with our main</w:t>
      </w:r>
      <w:r>
        <w:t xml:space="preserve"> </w:t>
      </w:r>
      <w:r>
        <w:rPr>
          <w:b/>
          <w:bCs/>
        </w:rPr>
        <w:t xml:space="preserve">Terms of Service</w:t>
      </w:r>
      <w:r>
        <w:t xml:space="preserve"> </w:t>
      </w:r>
      <w:r>
        <w:t xml:space="preserve">(referred to as the</w:t>
      </w:r>
      <w:r>
        <w:t xml:space="preserve"> </w:t>
      </w:r>
      <w:r>
        <w:t xml:space="preserve">“Principal Agreement”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Governing law / forum</w:t>
      </w:r>
      <w:r>
        <w:t xml:space="preserve"> </w:t>
      </w:r>
      <w:r>
        <w:t xml:space="preserve">— currently Danish law; please confirm this is appropriate.</w:t>
      </w:r>
    </w:p>
    <w:p>
      <w:pPr>
        <w:pStyle w:val="Compact"/>
        <w:numPr>
          <w:ilvl w:val="0"/>
          <w:numId w:val="1002"/>
        </w:numPr>
      </w:pPr>
      <w:r>
        <w:t xml:space="preserve">Whether we need an</w:t>
      </w:r>
      <w:r>
        <w:t xml:space="preserve"> </w:t>
      </w:r>
      <w:r>
        <w:rPr>
          <w:b/>
          <w:bCs/>
        </w:rPr>
        <w:t xml:space="preserve">Art. 27 EU representative</w:t>
      </w:r>
      <w:r>
        <w:t xml:space="preserve"> </w:t>
      </w:r>
      <w:r>
        <w:t xml:space="preserve">(we are established in Denmark, so likely not) and a</w:t>
      </w:r>
      <w:r>
        <w:t xml:space="preserve"> </w:t>
      </w:r>
      <w:r>
        <w:rPr>
          <w:b/>
          <w:bCs/>
        </w:rPr>
        <w:t xml:space="preserve">Data Protection Officer</w:t>
      </w:r>
      <w:r>
        <w:t xml:space="preserve"> </w:t>
      </w:r>
      <w:r>
        <w:t xml:space="preserve">(likely not).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48-hour breach-notification</w:t>
      </w:r>
      <w:r>
        <w:t xml:space="preserve"> </w:t>
      </w:r>
      <w:r>
        <w:t xml:space="preserve">commitment to customers — is this wording safe for us to give?</w:t>
      </w:r>
    </w:p>
    <w:bookmarkEnd w:id="13"/>
    <w:bookmarkStart w:id="14" w:name="scope-note"/>
    <w:p>
      <w:pPr>
        <w:pStyle w:val="Heading2"/>
      </w:pPr>
      <w:r>
        <w:t xml:space="preserve">Scope note</w:t>
      </w:r>
    </w:p>
    <w:p>
      <w:pPr>
        <w:pStyle w:val="FirstParagraph"/>
      </w:pPr>
      <w:r>
        <w:t xml:space="preserve">This is a one-off review of a single template document. We are an early-stage company and need a focused, practical pass — not a full compliance programme.</w:t>
      </w:r>
    </w:p>
    <w:p>
      <w:pPr>
        <w:pStyle w:val="BodyText"/>
      </w:pPr>
      <w:r>
        <w:t xml:space="preserve">Contact: privacy@chatvia.ai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2026-06-09T16:33:26Z</dcterms:created>
  <dcterms:modified xsi:type="dcterms:W3CDTF">2026-06-09T16:33:26Z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