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Methodology: Machine Learning-Based Silkworm Disease Prediction and Forecasting System</w:t>
      </w:r>
    </w:p>
    <w:p>
      <w:pPr>
        <w:jc w:val="center"/>
      </w:pPr>
      <w:r>
        <w:rPr>
          <w:rFonts w:ascii="Times New Roman" w:hAnsi="Times New Roman"/>
          <w:i/>
          <w:sz w:val="24"/>
        </w:rPr>
        <w:t>CSB-Central Tasar Research and Training Institute (CTRTI), Ranchi, Jharkhand</w:t>
      </w:r>
    </w:p>
    <w:p>
      <w:pPr>
        <w:jc w:val="center"/>
      </w:pPr>
      <w:r>
        <w:rPr>
          <w:rFonts w:ascii="Times New Roman" w:hAnsi="Times New Roman"/>
          <w:i/>
          <w:sz w:val="24"/>
        </w:rPr>
        <w:t>Study location: 23.3441° N, 85.3096° E | Study periods: October 2025 and August–September 2026</w:t>
      </w:r>
    </w:p>
    <w:p/>
    <w:p>
      <w:pPr>
        <w:spacing w:before="280" w:after="120"/>
      </w:pPr>
      <w:r>
        <w:rPr>
          <w:rFonts w:ascii="Times New Roman" w:hAnsi="Times New Roman"/>
          <w:b/>
          <w:color w:val="2C5530"/>
          <w:sz w:val="28"/>
        </w:rPr>
        <w:t>1. Study Area and Experimental Design</w:t>
      </w:r>
    </w:p>
    <w:p>
      <w:r>
        <w:rPr>
          <w:rFonts w:ascii="Times New Roman" w:hAnsi="Times New Roman"/>
          <w:b w:val="0"/>
          <w:i w:val="0"/>
          <w:sz w:val="24"/>
        </w:rPr>
        <w:t>The study was conducted at the experimental rearing facility of the Central Tasar Research and Training Institute (CTRTI), Ranchi, Jharkhand, India (23.3441° N latitude, 85.3096° E longitude). Two cropping seasons were monitored: October 2025 and August–September 2026. In 2025, silkworm larvae were reared in 8 experimental plots maintained under five spacing configurations (6×6, 6×10, 8×8, 10×10 and 12×12) and followed across instar stages, generating 81 plot-level observations between 07 October 2025 and 31 October 2025. In 2026, disease incidence was recorded on a daily basis over a continuous rearing period from 01 August 2026 to 23 September 2026.</w:t>
      </w:r>
    </w:p>
    <w:p>
      <w:pPr>
        <w:spacing w:before="280" w:after="120"/>
      </w:pPr>
      <w:r>
        <w:rPr>
          <w:rFonts w:ascii="Times New Roman" w:hAnsi="Times New Roman"/>
          <w:b/>
          <w:color w:val="2C5530"/>
          <w:sz w:val="28"/>
        </w:rPr>
        <w:t>2. Disease Data Collection</w:t>
      </w:r>
    </w:p>
    <w:p>
      <w:pPr>
        <w:spacing w:before="200"/>
      </w:pPr>
      <w:r>
        <w:rPr>
          <w:rFonts w:ascii="Times New Roman" w:hAnsi="Times New Roman"/>
          <w:b/>
          <w:sz w:val="24"/>
        </w:rPr>
        <w:t>2.1 Field observations, October 2025</w:t>
      </w:r>
    </w:p>
    <w:p>
      <w:r>
        <w:rPr>
          <w:rFonts w:ascii="Times New Roman" w:hAnsi="Times New Roman"/>
          <w:b w:val="0"/>
          <w:i w:val="0"/>
          <w:sz w:val="24"/>
        </w:rPr>
        <w:t>Disease incidence was recorded at the plot level on each observation day. For every plot, the number of infected larvae was counted separately for four diseases: Pebrine (microsporidiosis), Virosis (viral infection), Bacteriosis (bacterial infection) and Muscardine (fungal infection). Alongside disease counts, rearing attributes (plot number, spacing configuration, instar stage, net technology use) and pest presence (Uzi fly, mites, ants, spiders, arthropoda) were documented. The compiled dataset (results/cleaned_data_2025_corrected_thi.csv) contains 81 rows with daily disease counts per plot.</w:t>
      </w:r>
    </w:p>
    <w:p>
      <w:pPr>
        <w:spacing w:before="200"/>
      </w:pPr>
      <w:r>
        <w:rPr>
          <w:rFonts w:ascii="Times New Roman" w:hAnsi="Times New Roman"/>
          <w:b/>
          <w:sz w:val="24"/>
        </w:rPr>
        <w:t>2.2 Field observations, August–September 2026</w:t>
      </w:r>
    </w:p>
    <w:p>
      <w:r>
        <w:rPr>
          <w:rFonts w:ascii="Times New Roman" w:hAnsi="Times New Roman"/>
          <w:b w:val="0"/>
          <w:i w:val="0"/>
          <w:sz w:val="24"/>
        </w:rPr>
        <w:t>Disease incidence for the 2026 season was compiled from two sources:</w:t>
      </w:r>
    </w:p>
    <w:p>
      <w:pPr>
        <w:ind w:left="504" w:hanging="216"/>
      </w:pPr>
      <w:r>
        <w:rPr>
          <w:rFonts w:ascii="Times New Roman" w:hAnsi="Times New Roman"/>
          <w:sz w:val="24"/>
        </w:rPr>
        <w:t>•  Typed field records for August 2026: Bacteriosis was recorded on 02 Aug (1 larva), 03 Aug (1), 11 Aug (1), 20 Aug (1), 22 Aug (2) and 24 Aug (10 larvae); Virosis was recorded on 04 Aug (2 larvae).</w:t>
      </w:r>
    </w:p>
    <w:p>
      <w:pPr>
        <w:ind w:left="504" w:hanging="216"/>
      </w:pPr>
      <w:r>
        <w:rPr>
          <w:rFonts w:ascii="Times New Roman" w:hAnsi="Times New Roman"/>
          <w:sz w:val="24"/>
        </w:rPr>
        <w:t>•  Disease 2026.xlsx for September 2026: per-tray larval counts of Virosis and Bacteriosis. All dates in the workbook were interpreted as September 2026 (the workbook mixes day-first and month-first date formats). Rows recorded for the same date were summed to obtain daily totals (e.g., 12 Sep: 59 Virosis and 22 Bacteriosis larvae).</w:t>
      </w:r>
    </w:p>
    <w:p>
      <w:r>
        <w:rPr>
          <w:rFonts w:ascii="Times New Roman" w:hAnsi="Times New Roman"/>
          <w:b w:val="0"/>
          <w:i w:val="0"/>
          <w:sz w:val="24"/>
        </w:rPr>
        <w:t>Days within the rearing window (01 Aug – 23 Sep 2026) with no disease record were treated as zero-incidence days, yielding 54 daily records. The compiled dataset is saved as results/disease_data_2026.csv.</w:t>
      </w:r>
    </w:p>
    <w:p>
      <w:pPr>
        <w:spacing w:before="280" w:after="120"/>
      </w:pPr>
      <w:r>
        <w:rPr>
          <w:rFonts w:ascii="Times New Roman" w:hAnsi="Times New Roman"/>
          <w:b/>
          <w:color w:val="2C5530"/>
          <w:sz w:val="28"/>
        </w:rPr>
        <w:t>3. Climate Data Collection</w:t>
      </w:r>
    </w:p>
    <w:p>
      <w:pPr>
        <w:spacing w:before="200"/>
      </w:pPr>
      <w:r>
        <w:rPr>
          <w:rFonts w:ascii="Times New Roman" w:hAnsi="Times New Roman"/>
          <w:b/>
          <w:sz w:val="24"/>
        </w:rPr>
        <w:t>3.1 Climate records, October 2025</w:t>
      </w:r>
    </w:p>
    <w:p>
      <w:r>
        <w:rPr>
          <w:rFonts w:ascii="Times New Roman" w:hAnsi="Times New Roman"/>
          <w:b w:val="0"/>
          <w:i w:val="0"/>
          <w:sz w:val="24"/>
        </w:rPr>
        <w:t>During the 2025 season, climate variables (maximum and minimum temperature, relative humidity, wind speed, rainfall, dry-bulb and wet-bulb temperature, photoperiod) were recorded in the field alongside each disease observation.</w:t>
      </w:r>
    </w:p>
    <w:p>
      <w:pPr>
        <w:spacing w:before="200"/>
      </w:pPr>
      <w:r>
        <w:rPr>
          <w:rFonts w:ascii="Times New Roman" w:hAnsi="Times New Roman"/>
          <w:b/>
          <w:sz w:val="24"/>
        </w:rPr>
        <w:t>3.2 Climate data, 2026 season — NASA POWER (primary authentic source)</w:t>
      </w:r>
    </w:p>
    <w:p>
      <w:r>
        <w:rPr>
          <w:rFonts w:ascii="Times New Roman" w:hAnsi="Times New Roman"/>
          <w:b w:val="0"/>
          <w:i w:val="0"/>
          <w:sz w:val="24"/>
        </w:rPr>
        <w:t>Daily weather data for the 2026 rearing period were retrieved programmatically from the NASA POWER (Prediction of Worldwide Energy Resources) daily point API (https://power.larc.nasa.gov/api/temporal/daily/point) for the CTRTI Ranchi coordinates. The following parameters were requested under the AG (agriculture) community: T2M_MAX (maximum air temperature, °C), T2M_MIN (minimum air temperature, °C), RH2M (mean relative humidity, %), WS10M (mean wind speed at 10 m, m s⁻¹) and PRECTOTCORR (corrected daily precipitation, mm), for 01 August 2026 to 23 September 2026. Values of −999 (NASA missing-data flag) were treated as missing. NASA POWER daily products carry a latency of approximately five days, and valid data were returned for 01 Aug – 17 Sep 2026. The retrieved dataset is saved as results/climate_data_2026.csv.</w:t>
      </w:r>
    </w:p>
    <w:p>
      <w:pPr>
        <w:spacing w:before="200"/>
      </w:pPr>
      <w:r>
        <w:rPr>
          <w:rFonts w:ascii="Times New Roman" w:hAnsi="Times New Roman"/>
          <w:b/>
          <w:sz w:val="24"/>
        </w:rPr>
        <w:t>3.3 Gap filling — Open-Meteo ERA5 archive (secondary authentic source)</w:t>
      </w:r>
    </w:p>
    <w:p>
      <w:r>
        <w:rPr>
          <w:rFonts w:ascii="Times New Roman" w:hAnsi="Times New Roman"/>
          <w:b w:val="0"/>
          <w:i w:val="0"/>
          <w:sz w:val="24"/>
        </w:rPr>
        <w:t>The five missing days (18–22 September 2026) were backfilled from the Open-Meteo historical weather archive (https://archive-api.open-meteo.com/v1/archive), which serves ERA5 reanalysis data from the European Centre for Medium-Range Weather Forecasts. Daily maximum/minimum temperature, mean relative humidity, mean 10 m wind speed and precipitation sum were extracted for the same coordinates (Asia/Kolkata timezone) and merged with the NASA POWER series. The 23 September 2026 disease record was excluded from model training because no observed climate data were yet available for that date from either source, leaving 53 daily records for 2026.</w:t>
      </w:r>
    </w:p>
    <w:p>
      <w:pPr>
        <w:spacing w:before="200"/>
      </w:pPr>
      <w:r>
        <w:rPr>
          <w:rFonts w:ascii="Times New Roman" w:hAnsi="Times New Roman"/>
          <w:b/>
          <w:sz w:val="24"/>
        </w:rPr>
        <w:t>3.4 Note on India Meteorological Department (IMD) sources</w:t>
      </w:r>
    </w:p>
    <w:p>
      <w:r>
        <w:rPr>
          <w:rFonts w:ascii="Times New Roman" w:hAnsi="Times New Roman"/>
          <w:b w:val="0"/>
          <w:i w:val="0"/>
          <w:sz w:val="24"/>
        </w:rPr>
        <w:t>The official IMD/Mausam data services (api.imd.gov.in, city.imd.gov.in, mausam.imd.gov.in) were evaluated as candidate sources. All IMD programmatic endpoints currently require the caller’s IP address or domain to be whitelisted by IMD and returned HTTP 401 for unregistered clients; they therefore could not be integrated directly. NASA POWER and Open-Meteo ERA5 are open public-domain sources requiring no registration and were adopted instead. An IMD provider can be added to the data-access module once API access is approved.</w:t>
      </w:r>
    </w:p>
    <w:p>
      <w:pPr>
        <w:spacing w:before="280" w:after="120"/>
      </w:pPr>
      <w:r>
        <w:rPr>
          <w:rFonts w:ascii="Times New Roman" w:hAnsi="Times New Roman"/>
          <w:b/>
          <w:color w:val="2C5530"/>
          <w:sz w:val="28"/>
        </w:rPr>
        <w:t>4. Derivation of the Temperature-Humidity Index (THI)</w:t>
      </w:r>
    </w:p>
    <w:p>
      <w:r>
        <w:rPr>
          <w:rFonts w:ascii="Times New Roman" w:hAnsi="Times New Roman"/>
          <w:b w:val="0"/>
          <w:i w:val="0"/>
          <w:sz w:val="24"/>
        </w:rPr>
        <w:t>The Temperature-Humidity Index was computed for every record (both seasons) using the NRC (1971) formulation:</w:t>
      </w:r>
    </w:p>
    <w:p>
      <w:pPr>
        <w:jc w:val="center"/>
      </w:pPr>
      <w:r>
        <w:rPr>
          <w:rFonts w:ascii="Times New Roman" w:hAnsi="Times New Roman"/>
          <w:i/>
          <w:sz w:val="24"/>
        </w:rPr>
        <w:t>THI = (1.8 × T + 32) − [(0.55 − 0.0055 × RH) × (1.8 × T − 58)]</w:t>
      </w:r>
    </w:p>
    <w:p>
      <w:r>
        <w:rPr>
          <w:rFonts w:ascii="Times New Roman" w:hAnsi="Times New Roman"/>
          <w:b w:val="0"/>
          <w:i w:val="0"/>
          <w:sz w:val="24"/>
        </w:rPr>
        <w:t>where T is the mean of daily maximum and minimum temperature (°C) and RH is the mean relative humidity (%). The NRC formula was chosen because it was previously validated for this dataset (recalculate_thi_and_recreate_figure.py) and it supersedes the ad hoc THI values of the original 2025 records, ensuring a consistent THI scale across the 2025 and 2026 seasons (observed range approximately 70–80).</w:t>
      </w:r>
    </w:p>
    <w:p>
      <w:pPr>
        <w:spacing w:before="280" w:after="120"/>
      </w:pPr>
      <w:r>
        <w:rPr>
          <w:rFonts w:ascii="Times New Roman" w:hAnsi="Times New Roman"/>
          <w:b/>
          <w:color w:val="2C5530"/>
          <w:sz w:val="28"/>
        </w:rPr>
        <w:t>5. Data Integration and Preprocessing</w:t>
      </w:r>
    </w:p>
    <w:p>
      <w:r>
        <w:rPr>
          <w:rFonts w:ascii="Times New Roman" w:hAnsi="Times New Roman"/>
          <w:b w:val="0"/>
          <w:i w:val="0"/>
          <w:sz w:val="24"/>
        </w:rPr>
        <w:t>The 2025 and 2026 datasets were merged into a single training table (results/merged_data_2025_2026.csv; 134 rows: 81 plot-level rows from 2025 and 53 daily rows from 2026) by a dedicated build script (build_2026_dataset.py). The following preprocessing decisions were applied:</w:t>
      </w:r>
    </w:p>
    <w:p>
      <w:pPr>
        <w:ind w:left="504" w:hanging="216"/>
      </w:pPr>
      <w:r>
        <w:rPr>
          <w:rFonts w:ascii="Times New Roman" w:hAnsi="Times New Roman"/>
          <w:sz w:val="24"/>
        </w:rPr>
        <w:t>•  Records with missing wind speed (18 of the 81 rows from 2025) were removed, leaving 116 complete training records.</w:t>
      </w:r>
    </w:p>
    <w:p>
      <w:pPr>
        <w:ind w:left="504" w:hanging="216"/>
      </w:pPr>
      <w:r>
        <w:rPr>
          <w:rFonts w:ascii="Times New Roman" w:hAnsi="Times New Roman"/>
          <w:sz w:val="24"/>
        </w:rPr>
        <w:t>•  Disease counts were converted to binary occurrence targets (1 = at least one infected larva on that day/plot; 0 = none), matching the operational question “whether disease will occur” rather than “how many larvae will be infected”.</w:t>
      </w:r>
    </w:p>
    <w:p>
      <w:pPr>
        <w:ind w:left="504" w:hanging="216"/>
      </w:pPr>
      <w:r>
        <w:rPr>
          <w:rFonts w:ascii="Times New Roman" w:hAnsi="Times New Roman"/>
          <w:sz w:val="24"/>
        </w:rPr>
        <w:t>•  Pebrine and Muscardine were excluded from model development: neither disease was recorded anywhere in the 2026 season, so no current-season positive examples exist. Only Virosis and Bacteriosis are modelled and predicted.</w:t>
      </w:r>
    </w:p>
    <w:p>
      <w:pPr>
        <w:ind w:left="504" w:hanging="216"/>
      </w:pPr>
      <w:r>
        <w:rPr>
          <w:rFonts w:ascii="Times New Roman" w:hAnsi="Times New Roman"/>
          <w:sz w:val="24"/>
        </w:rPr>
        <w:t>•  Management features (plot spacing, net technology, pest presence) were excluded from the predictive model so that forecasts depend solely on weather, which is available in real time from public sources.</w:t>
      </w:r>
    </w:p>
    <w:p>
      <w:pPr>
        <w:ind w:left="504" w:hanging="216"/>
      </w:pPr>
      <w:r>
        <w:rPr>
          <w:rFonts w:ascii="Times New Roman" w:hAnsi="Times New Roman"/>
          <w:sz w:val="24"/>
        </w:rPr>
        <w:t>•  Rainfall was excluded as a model feature because 75% of the 2025 records lack rainfall data and all remaining 2025 values are zero (dry season); retaining it would have discarded most of the 2025 training rows. Rainfall is still displayed on the forecast page for information.</w:t>
      </w:r>
    </w:p>
    <w:p>
      <w:r>
        <w:rPr>
          <w:rFonts w:ascii="Times New Roman" w:hAnsi="Times New Roman"/>
          <w:b w:val="0"/>
          <w:i w:val="0"/>
          <w:sz w:val="24"/>
        </w:rPr>
        <w:t>The final feature set therefore consists of five weather variables: Tmax, Tmin, Humidity, THI (derived) and Wind_Speed.</w:t>
      </w:r>
    </w:p>
    <w:p>
      <w:pPr>
        <w:spacing w:before="280" w:after="120"/>
      </w:pPr>
      <w:r>
        <w:rPr>
          <w:rFonts w:ascii="Times New Roman" w:hAnsi="Times New Roman"/>
          <w:b/>
          <w:color w:val="2C5530"/>
          <w:sz w:val="28"/>
        </w:rPr>
        <w:t>6. Model Development</w:t>
      </w:r>
    </w:p>
    <w:p>
      <w:pPr>
        <w:spacing w:before="200"/>
      </w:pPr>
      <w:r>
        <w:rPr>
          <w:rFonts w:ascii="Times New Roman" w:hAnsi="Times New Roman"/>
          <w:b/>
          <w:sz w:val="24"/>
        </w:rPr>
        <w:t>6.1 Algorithms and ensemble design</w:t>
      </w:r>
    </w:p>
    <w:p>
      <w:r>
        <w:rPr>
          <w:rFonts w:ascii="Times New Roman" w:hAnsi="Times New Roman"/>
          <w:b w:val="0"/>
          <w:i w:val="0"/>
          <w:sz w:val="24"/>
        </w:rPr>
        <w:t>For each target disease (Virosis, Bacteriosis), two binary classifiers were trained and combined into an ensemble:</w:t>
      </w:r>
    </w:p>
    <w:p>
      <w:pPr>
        <w:ind w:left="504" w:hanging="216"/>
      </w:pPr>
      <w:r>
        <w:rPr>
          <w:rFonts w:ascii="Times New Roman" w:hAnsi="Times New Roman"/>
          <w:sz w:val="24"/>
        </w:rPr>
        <w:t>•  Random Forest Classifier (scikit-learn): 100 estimators, maximum depth 10, random state 42; operates on raw (unscaled) features.</w:t>
      </w:r>
    </w:p>
    <w:p>
      <w:pPr>
        <w:ind w:left="504" w:hanging="216"/>
      </w:pPr>
      <w:r>
        <w:rPr>
          <w:rFonts w:ascii="Times New Roman" w:hAnsi="Times New Roman"/>
          <w:sz w:val="24"/>
        </w:rPr>
        <w:t>•  Logistic Regression (scikit-learn): maximum 1000 iterations, L2 regularization, random state 42; trained on features standardized with a StandardScaler fitted on the training partition only.</w:t>
      </w:r>
    </w:p>
    <w:p>
      <w:r>
        <w:rPr>
          <w:rFonts w:ascii="Times New Roman" w:hAnsi="Times New Roman"/>
          <w:b w:val="0"/>
          <w:i w:val="0"/>
          <w:sz w:val="24"/>
        </w:rPr>
        <w:t>For any input day, the ensemble risk score is the arithmetic mean of the two predicted probabilities of disease occurrence:</w:t>
      </w:r>
    </w:p>
    <w:p>
      <w:pPr>
        <w:jc w:val="center"/>
      </w:pPr>
      <w:r>
        <w:rPr>
          <w:rFonts w:ascii="Times New Roman" w:hAnsi="Times New Roman"/>
          <w:i/>
          <w:sz w:val="24"/>
        </w:rPr>
        <w:t>P(disease) = [P_RF(disease) + P_LR(disease)] / 2</w:t>
      </w:r>
    </w:p>
    <w:p>
      <w:pPr>
        <w:spacing w:before="200"/>
      </w:pPr>
      <w:r>
        <w:rPr>
          <w:rFonts w:ascii="Times New Roman" w:hAnsi="Times New Roman"/>
          <w:b/>
          <w:sz w:val="24"/>
        </w:rPr>
        <w:t>6.2 Training protocol</w:t>
      </w:r>
    </w:p>
    <w:p>
      <w:r>
        <w:rPr>
          <w:rFonts w:ascii="Times New Roman" w:hAnsi="Times New Roman"/>
          <w:b w:val="0"/>
          <w:i w:val="0"/>
          <w:sz w:val="24"/>
        </w:rPr>
        <w:t>Data were partitioned into training (80%) and test (20%) subsets using stratified sampling (stratified by disease occurrence, random state 42) so that class proportions are preserved in both partitions. Models were trained independently for each disease on the full 2025+2026 training set and serialized, together with the scaler and the feature-column order, into models.pkl; metadata (features, formulas, accuracies) are stored in model_info.json. The complete training procedure is implemented in train_models_weather.py.</w:t>
      </w:r>
    </w:p>
    <w:p>
      <w:pPr>
        <w:spacing w:before="200"/>
      </w:pPr>
      <w:r>
        <w:rPr>
          <w:rFonts w:ascii="Times New Roman" w:hAnsi="Times New Roman"/>
          <w:b/>
          <w:sz w:val="24"/>
        </w:rPr>
        <w:t>6.3 Risk classification</w:t>
      </w:r>
    </w:p>
    <w:p>
      <w:r>
        <w:rPr>
          <w:rFonts w:ascii="Times New Roman" w:hAnsi="Times New Roman"/>
          <w:b w:val="0"/>
          <w:i w:val="0"/>
          <w:sz w:val="24"/>
        </w:rPr>
        <w:t>Ensemble probabilities are mapped to four advisory risk levels: Low (&lt; 20%), Moderate (20–39.9%), High (40–59.9%) and Very High (≥ 60%).</w:t>
      </w:r>
    </w:p>
    <w:p>
      <w:pPr>
        <w:spacing w:before="280" w:after="120"/>
      </w:pPr>
      <w:r>
        <w:rPr>
          <w:rFonts w:ascii="Times New Roman" w:hAnsi="Times New Roman"/>
          <w:b/>
          <w:color w:val="2C5530"/>
          <w:sz w:val="28"/>
        </w:rPr>
        <w:t>7. Model Evaluation</w:t>
      </w:r>
    </w:p>
    <w:p>
      <w:r>
        <w:rPr>
          <w:rFonts w:ascii="Times New Roman" w:hAnsi="Times New Roman"/>
          <w:b w:val="0"/>
          <w:i w:val="0"/>
          <w:sz w:val="24"/>
        </w:rPr>
        <w:t>Model performance was assessed on the held-out test partition and, additionally, on the 2026 season alone as a temporal holdout (the model’s ability to generalize to an unseen season):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22"/>
              </w:rPr>
              <w:t>Disease</w:t>
            </w:r>
          </w:p>
        </w:tc>
        <w:tc>
          <w:tcPr>
            <w:tcW w:type="dxa" w:w="1560"/>
          </w:tcPr>
          <w:p>
            <w:r/>
            <w:r>
              <w:rPr>
                <w:rFonts w:ascii="Times New Roman" w:hAnsi="Times New Roman"/>
                <w:b/>
                <w:sz w:val="22"/>
              </w:rPr>
              <w:t>RF test accuracy</w:t>
            </w:r>
          </w:p>
        </w:tc>
        <w:tc>
          <w:tcPr>
            <w:tcW w:type="dxa" w:w="1560"/>
          </w:tcPr>
          <w:p>
            <w:r/>
            <w:r>
              <w:rPr>
                <w:rFonts w:ascii="Times New Roman" w:hAnsi="Times New Roman"/>
                <w:b/>
                <w:sz w:val="22"/>
              </w:rPr>
              <w:t>LR test accuracy</w:t>
            </w:r>
          </w:p>
        </w:tc>
        <w:tc>
          <w:tcPr>
            <w:tcW w:type="dxa" w:w="1560"/>
          </w:tcPr>
          <w:p>
            <w:r/>
            <w:r>
              <w:rPr>
                <w:rFonts w:ascii="Times New Roman" w:hAnsi="Times New Roman"/>
                <w:b/>
                <w:sz w:val="22"/>
              </w:rPr>
              <w:t>RF accuracy on 2026 holdout</w:t>
            </w:r>
          </w:p>
        </w:tc>
        <w:tc>
          <w:tcPr>
            <w:tcW w:type="dxa" w:w="1560"/>
          </w:tcPr>
          <w:p>
            <w:r/>
            <w:r>
              <w:rPr>
                <w:rFonts w:ascii="Times New Roman" w:hAnsi="Times New Roman"/>
                <w:b/>
                <w:sz w:val="22"/>
              </w:rPr>
              <w:t>Training samples</w:t>
            </w:r>
          </w:p>
        </w:tc>
        <w:tc>
          <w:tcPr>
            <w:tcW w:type="dxa" w:w="1560"/>
          </w:tcPr>
          <w:p>
            <w:r/>
            <w:r>
              <w:rPr>
                <w:rFonts w:ascii="Times New Roman" w:hAnsi="Times New Roman"/>
                <w:b/>
                <w:sz w:val="22"/>
              </w:rPr>
              <w:t>Positive cases</w:t>
            </w:r>
          </w:p>
        </w:tc>
      </w:tr>
      <w:tr>
        <w:tc>
          <w:tcPr>
            <w:tcW w:type="dxa" w:w="1560"/>
          </w:tcPr>
          <w:p>
            <w:r/>
            <w:r>
              <w:rPr>
                <w:rFonts w:ascii="Times New Roman" w:hAnsi="Times New Roman"/>
                <w:sz w:val="22"/>
              </w:rPr>
              <w:t>Virosis</w:t>
            </w:r>
          </w:p>
        </w:tc>
        <w:tc>
          <w:tcPr>
            <w:tcW w:type="dxa" w:w="1560"/>
          </w:tcPr>
          <w:p>
            <w:r/>
            <w:r>
              <w:rPr>
                <w:rFonts w:ascii="Times New Roman" w:hAnsi="Times New Roman"/>
                <w:sz w:val="22"/>
              </w:rPr>
              <w:t>0.792</w:t>
            </w:r>
          </w:p>
        </w:tc>
        <w:tc>
          <w:tcPr>
            <w:tcW w:type="dxa" w:w="1560"/>
          </w:tcPr>
          <w:p>
            <w:r/>
            <w:r>
              <w:rPr>
                <w:rFonts w:ascii="Times New Roman" w:hAnsi="Times New Roman"/>
                <w:sz w:val="22"/>
              </w:rPr>
              <w:t>0.792</w:t>
            </w:r>
          </w:p>
        </w:tc>
        <w:tc>
          <w:tcPr>
            <w:tcW w:type="dxa" w:w="1560"/>
          </w:tcPr>
          <w:p>
            <w:r/>
            <w:r>
              <w:rPr>
                <w:rFonts w:ascii="Times New Roman" w:hAnsi="Times New Roman"/>
                <w:sz w:val="22"/>
              </w:rPr>
              <w:t>0.943</w:t>
            </w:r>
          </w:p>
        </w:tc>
        <w:tc>
          <w:tcPr>
            <w:tcW w:type="dxa" w:w="1560"/>
          </w:tcPr>
          <w:p>
            <w:r/>
            <w:r>
              <w:rPr>
                <w:rFonts w:ascii="Times New Roman" w:hAnsi="Times New Roman"/>
                <w:sz w:val="22"/>
              </w:rPr>
              <w:t>116</w:t>
            </w:r>
          </w:p>
        </w:tc>
        <w:tc>
          <w:tcPr>
            <w:tcW w:type="dxa" w:w="1560"/>
          </w:tcPr>
          <w:p>
            <w:r/>
            <w:r>
              <w:rPr>
                <w:rFonts w:ascii="Times New Roman" w:hAnsi="Times New Roman"/>
                <w:sz w:val="22"/>
              </w:rPr>
              <w:t>31</w:t>
            </w:r>
          </w:p>
        </w:tc>
      </w:tr>
      <w:tr>
        <w:tc>
          <w:tcPr>
            <w:tcW w:type="dxa" w:w="1560"/>
          </w:tcPr>
          <w:p>
            <w:r/>
            <w:r>
              <w:rPr>
                <w:rFonts w:ascii="Times New Roman" w:hAnsi="Times New Roman"/>
                <w:sz w:val="22"/>
              </w:rPr>
              <w:t>Bacteriosis</w:t>
            </w:r>
          </w:p>
        </w:tc>
        <w:tc>
          <w:tcPr>
            <w:tcW w:type="dxa" w:w="1560"/>
          </w:tcPr>
          <w:p>
            <w:r/>
            <w:r>
              <w:rPr>
                <w:rFonts w:ascii="Times New Roman" w:hAnsi="Times New Roman"/>
                <w:sz w:val="22"/>
              </w:rPr>
              <w:t>0.792</w:t>
            </w:r>
          </w:p>
        </w:tc>
        <w:tc>
          <w:tcPr>
            <w:tcW w:type="dxa" w:w="1560"/>
          </w:tcPr>
          <w:p>
            <w:r/>
            <w:r>
              <w:rPr>
                <w:rFonts w:ascii="Times New Roman" w:hAnsi="Times New Roman"/>
                <w:sz w:val="22"/>
              </w:rPr>
              <w:t>0.792</w:t>
            </w:r>
          </w:p>
        </w:tc>
        <w:tc>
          <w:tcPr>
            <w:tcW w:type="dxa" w:w="1560"/>
          </w:tcPr>
          <w:p>
            <w:r/>
            <w:r>
              <w:rPr>
                <w:rFonts w:ascii="Times New Roman" w:hAnsi="Times New Roman"/>
                <w:sz w:val="22"/>
              </w:rPr>
              <w:t>0.981</w:t>
            </w:r>
          </w:p>
        </w:tc>
        <w:tc>
          <w:tcPr>
            <w:tcW w:type="dxa" w:w="1560"/>
          </w:tcPr>
          <w:p>
            <w:r/>
            <w:r>
              <w:rPr>
                <w:rFonts w:ascii="Times New Roman" w:hAnsi="Times New Roman"/>
                <w:sz w:val="22"/>
              </w:rPr>
              <w:t>116</w:t>
            </w:r>
          </w:p>
        </w:tc>
        <w:tc>
          <w:tcPr>
            <w:tcW w:type="dxa" w:w="1560"/>
          </w:tcPr>
          <w:p>
            <w:r/>
            <w:r>
              <w:rPr>
                <w:rFonts w:ascii="Times New Roman" w:hAnsi="Times New Roman"/>
                <w:sz w:val="22"/>
              </w:rPr>
              <w:t>21</w:t>
            </w:r>
          </w:p>
        </w:tc>
      </w:tr>
    </w:tbl>
    <w:p/>
    <w:p>
      <w:r>
        <w:rPr>
          <w:rFonts w:ascii="Times New Roman" w:hAnsi="Times New Roman"/>
          <w:b w:val="0"/>
          <w:i w:val="0"/>
          <w:sz w:val="24"/>
        </w:rPr>
        <w:t>Discriminative ability on the 2026 season was further quantified by comparing mean predicted risk on disease days versus disease-free days: for Virosis, 37.2% on disease days versus 8.3% on clean days; for Bacteriosis, 41.3% versus 13.9%. Feature-importance analysis (Random Forest) identified Tmin, Tmax, Humidity and THI as the dominant predictors for both diseases, consistent with the significant temperature–disease correlations established in the earlier statistical analysis of the 2025 data.</w:t>
      </w:r>
    </w:p>
    <w:p>
      <w:pPr>
        <w:spacing w:before="280" w:after="120"/>
      </w:pPr>
      <w:r>
        <w:rPr>
          <w:rFonts w:ascii="Times New Roman" w:hAnsi="Times New Roman"/>
          <w:b/>
          <w:color w:val="2C5530"/>
          <w:sz w:val="28"/>
        </w:rPr>
        <w:t>8. Real-Time Weather Forecast Integration</w:t>
      </w:r>
    </w:p>
    <w:p>
      <w:r>
        <w:rPr>
          <w:rFonts w:ascii="Times New Roman" w:hAnsi="Times New Roman"/>
          <w:b w:val="0"/>
          <w:i w:val="0"/>
          <w:sz w:val="24"/>
        </w:rPr>
        <w:t>The deployed web application does not require any manual data entry. Weather parameters for prediction are obtained automatically from public-domain forecast sources through a provider chain implemented in app/forecast.py:</w:t>
      </w:r>
    </w:p>
    <w:p>
      <w:pPr>
        <w:ind w:left="504" w:hanging="216"/>
      </w:pPr>
      <w:r>
        <w:rPr>
          <w:rFonts w:ascii="Times New Roman" w:hAnsi="Times New Roman"/>
          <w:sz w:val="24"/>
        </w:rPr>
        <w:t>•  Primary source: Open-Meteo Forecast API (https://api.open-meteo.com/v1/forecast), a free service requiring no API key, providing daily maximum/minimum temperature, mean relative humidity, mean 10 m wind speed and precipitation sum for up to 16 days ahead (Asia/Kolkata timezone).</w:t>
      </w:r>
    </w:p>
    <w:p>
      <w:pPr>
        <w:ind w:left="504" w:hanging="216"/>
      </w:pPr>
      <w:r>
        <w:rPr>
          <w:rFonts w:ascii="Times New Roman" w:hAnsi="Times New Roman"/>
          <w:sz w:val="24"/>
        </w:rPr>
        <w:t>•  Fallback source: NASA POWER daily endpoint, used automatically if the primary source is unreachable.</w:t>
      </w:r>
    </w:p>
    <w:p>
      <w:r>
        <w:rPr>
          <w:rFonts w:ascii="Times New Roman" w:hAnsi="Times New Roman"/>
          <w:b w:val="0"/>
          <w:i w:val="0"/>
          <w:sz w:val="24"/>
        </w:rPr>
        <w:t>Forecast responses are cached in memory for 30 minutes to limit API usage and reduce latency. For every forecast day the application computes THI internally (NRC 1971) and evaluates both disease models, producing a 7-day disease-risk outlook. The official IMD/Mausam APIs can be inserted as the primary provider once IP whitelisting is granted by IMD (Section 3.4).</w:t>
      </w:r>
    </w:p>
    <w:p>
      <w:pPr>
        <w:spacing w:before="280" w:after="120"/>
      </w:pPr>
      <w:r>
        <w:rPr>
          <w:rFonts w:ascii="Times New Roman" w:hAnsi="Times New Roman"/>
          <w:b/>
          <w:color w:val="2C5530"/>
          <w:sz w:val="28"/>
        </w:rPr>
        <w:t>9. Web Application</w:t>
      </w:r>
    </w:p>
    <w:p>
      <w:r>
        <w:rPr>
          <w:rFonts w:ascii="Times New Roman" w:hAnsi="Times New Roman"/>
          <w:b w:val="0"/>
          <w:i w:val="0"/>
          <w:sz w:val="24"/>
        </w:rPr>
        <w:t>The system is implemented as a Flask (Python 3.11) web application with a Bootstrap 5 front end and Chart.js visualizations:</w:t>
      </w:r>
    </w:p>
    <w:p>
      <w:pPr>
        <w:ind w:left="504" w:hanging="216"/>
      </w:pPr>
      <w:r>
        <w:rPr>
          <w:rFonts w:ascii="Times New Roman" w:hAnsi="Times New Roman"/>
          <w:sz w:val="24"/>
        </w:rPr>
        <w:t>•  Home page (/): live 7-day forecast with per-day Virosis and Bacteriosis risk, a risk-trend chart, a highest-risk-day advisory, and daily weather cards.</w:t>
      </w:r>
    </w:p>
    <w:p>
      <w:pPr>
        <w:ind w:left="504" w:hanging="216"/>
      </w:pPr>
      <w:r>
        <w:rPr>
          <w:rFonts w:ascii="Times New Roman" w:hAnsi="Times New Roman"/>
          <w:sz w:val="24"/>
        </w:rPr>
        <w:t>•  JSON API: POST /api/forecast returns the forecast with per-day predictions; POST /api/predict returns predictions directly from supplied weather parameters (tmax, tmin, humidity, wind_speed; THI computed automatically).</w:t>
      </w:r>
    </w:p>
    <w:p>
      <w:pPr>
        <w:ind w:left="504" w:hanging="216"/>
      </w:pPr>
      <w:r>
        <w:rPr>
          <w:rFonts w:ascii="Times New Roman" w:hAnsi="Times New Roman"/>
          <w:sz w:val="24"/>
        </w:rPr>
        <w:t>•  Model information (/model-info) and About (/about) pages document the ensemble, performance and data sources.</w:t>
      </w:r>
    </w:p>
    <w:p>
      <w:r>
        <w:rPr>
          <w:rFonts w:ascii="Times New Roman" w:hAnsi="Times New Roman"/>
          <w:b w:val="0"/>
          <w:i w:val="0"/>
          <w:sz w:val="24"/>
        </w:rPr>
        <w:t>The application is self-contained (models, scaler, branding images and templates are served locally) and is deployable on Render (gunicorn) or GitHub Pages without any API keys.</w:t>
      </w:r>
    </w:p>
    <w:p>
      <w:pPr>
        <w:spacing w:before="280" w:after="120"/>
      </w:pPr>
      <w:r>
        <w:rPr>
          <w:rFonts w:ascii="Times New Roman" w:hAnsi="Times New Roman"/>
          <w:b/>
          <w:color w:val="2C5530"/>
          <w:sz w:val="28"/>
        </w:rPr>
        <w:t>10. Reproducibility: Analysis Pipeline</w:t>
      </w:r>
    </w:p>
    <w:p>
      <w:r>
        <w:rPr>
          <w:rFonts w:ascii="Times New Roman" w:hAnsi="Times New Roman"/>
          <w:b w:val="0"/>
          <w:i w:val="0"/>
          <w:sz w:val="24"/>
        </w:rPr>
        <w:t>The complete workflow is scripted and reproducible:</w:t>
      </w:r>
    </w:p>
    <w:p>
      <w:pPr>
        <w:ind w:left="504" w:hanging="216"/>
      </w:pPr>
      <w:r>
        <w:rPr>
          <w:rFonts w:ascii="Times New Roman" w:hAnsi="Times New Roman"/>
          <w:sz w:val="24"/>
        </w:rPr>
        <w:t>•  build_2026_dataset.py — compiles the 2026 disease records, downloads NASA POWER and Open-Meteo ERA5 climate data, computes THI and writes the merged 2025+2026 training dataset.</w:t>
      </w:r>
    </w:p>
    <w:p>
      <w:pPr>
        <w:ind w:left="504" w:hanging="216"/>
      </w:pPr>
      <w:r>
        <w:rPr>
          <w:rFonts w:ascii="Times New Roman" w:hAnsi="Times New Roman"/>
          <w:sz w:val="24"/>
        </w:rPr>
        <w:t>•  train_models_weather.py — trains the Random Forest + Logistic Regression ensembles for Virosis and Bacteriosis and exports models.pkl / model_info.json.</w:t>
      </w:r>
    </w:p>
    <w:p>
      <w:pPr>
        <w:ind w:left="504" w:hanging="216"/>
      </w:pPr>
      <w:r>
        <w:rPr>
          <w:rFonts w:ascii="Times New Roman" w:hAnsi="Times New Roman"/>
          <w:sz w:val="24"/>
        </w:rPr>
        <w:t>•  app/app.py and app/forecast.py — serve the forecast-driven web application.</w:t>
      </w:r>
    </w:p>
    <w:p>
      <w:pPr>
        <w:ind w:left="504" w:hanging="216"/>
      </w:pPr>
      <w:r>
        <w:rPr>
          <w:rFonts w:ascii="Times New Roman" w:hAnsi="Times New Roman"/>
          <w:sz w:val="24"/>
        </w:rPr>
        <w:t>•  Earlier stages (2025 statistical analysis, THI recalculation, PDF data extraction) are retained in analysis_code.py, recalculate_thi_and_recreate_figure.py and the extraction scripts.</w:t>
      </w:r>
    </w:p>
    <w:p>
      <w:pPr>
        <w:spacing w:before="280" w:after="120"/>
      </w:pPr>
      <w:r>
        <w:rPr>
          <w:rFonts w:ascii="Times New Roman" w:hAnsi="Times New Roman"/>
          <w:b/>
          <w:color w:val="2C5530"/>
          <w:sz w:val="28"/>
        </w:rPr>
        <w:t>11. Assumptions and Limitations</w:t>
      </w:r>
    </w:p>
    <w:p>
      <w:pPr>
        <w:ind w:left="504" w:hanging="216"/>
      </w:pPr>
      <w:r>
        <w:rPr>
          <w:rFonts w:ascii="Times New Roman" w:hAnsi="Times New Roman"/>
          <w:sz w:val="24"/>
        </w:rPr>
        <w:t>•  September 2026 dates in Disease 2026.xlsx were interpreted as September dates; duplicate rows for a date were summed (treated as separate rearing trays).</w:t>
      </w:r>
    </w:p>
    <w:p>
      <w:pPr>
        <w:ind w:left="504" w:hanging="216"/>
      </w:pPr>
      <w:r>
        <w:rPr>
          <w:rFonts w:ascii="Times New Roman" w:hAnsi="Times New Roman"/>
          <w:sz w:val="24"/>
        </w:rPr>
        <w:t>•  Days without a disease record in the 2026 rearing window were assumed to have zero incidence.</w:t>
      </w:r>
    </w:p>
    <w:p>
      <w:pPr>
        <w:ind w:left="504" w:hanging="216"/>
      </w:pPr>
      <w:r>
        <w:rPr>
          <w:rFonts w:ascii="Times New Roman" w:hAnsi="Times New Roman"/>
          <w:sz w:val="24"/>
        </w:rPr>
        <w:t>•  The 23 September 2026 record was excluded from training because observed climate data for that date were not yet available.</w:t>
      </w:r>
    </w:p>
    <w:p>
      <w:pPr>
        <w:ind w:left="504" w:hanging="216"/>
      </w:pPr>
      <w:r>
        <w:rPr>
          <w:rFonts w:ascii="Times New Roman" w:hAnsi="Times New Roman"/>
          <w:sz w:val="24"/>
        </w:rPr>
        <w:t>•  2026 rows carry no plot/spacing/instar attributes; these management variables are consequently excluded from the predictive model.</w:t>
      </w:r>
    </w:p>
    <w:p>
      <w:pPr>
        <w:ind w:left="504" w:hanging="216"/>
      </w:pPr>
      <w:r>
        <w:rPr>
          <w:rFonts w:ascii="Times New Roman" w:hAnsi="Times New Roman"/>
          <w:sz w:val="24"/>
        </w:rPr>
        <w:t>•  NASA POWER and ERA5 wind-speed magnitudes differ systematically; wind speed is a minor contributor to the ensemble, and the risk estimates are dominated by temperature and humidity terms.</w:t>
      </w:r>
    </w:p>
    <w:p>
      <w:pPr>
        <w:ind w:left="504" w:hanging="216"/>
      </w:pPr>
      <w:r>
        <w:rPr>
          <w:rFonts w:ascii="Times New Roman" w:hAnsi="Times New Roman"/>
          <w:sz w:val="24"/>
        </w:rPr>
        <w:t>•  Weather-only accuracy (~0.79 on the test partition) is lower than earlier management-inclusive models (~0.96), which is expected because plot and pest information is no longer used; generalization to the unseen 2026 season remains strong (0.94–0.98).</w:t>
      </w:r>
    </w:p>
    <w:p>
      <w:pPr>
        <w:ind w:left="504" w:hanging="216"/>
      </w:pPr>
      <w:r>
        <w:rPr>
          <w:rFonts w:ascii="Times New Roman" w:hAnsi="Times New Roman"/>
          <w:sz w:val="24"/>
        </w:rPr>
        <w:t>•  Probabilistic outputs are decision-support estimates derived from a moderate sample (116 records) and should be combined with field scouting.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