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before="0"/>
        <w:jc w:val="center"/>
      </w:pPr>
      <w:r>
        <w:rPr>
          <w:rFonts w:ascii="Arial" w:cs="Arial" w:eastAsia="Arial" w:hAnsi="Arial"/>
          <w:b/>
          <w:bCs/>
          <w:color w:val="1F4E79"/>
          <w:sz w:val="44"/>
          <w:szCs w:val="44"/>
        </w:rPr>
        <w:t xml:space="preserve">AVANCE 1</w:t>
      </w:r>
    </w:p>
    <w:p>
      <w:pPr>
        <w:spacing w:after="200" w:before="0"/>
        <w:jc w:val="center"/>
      </w:pPr>
      <w:r>
        <w:rPr>
          <w:rFonts w:ascii="Arial" w:cs="Arial" w:eastAsia="Arial" w:hAnsi="Arial"/>
          <w:b/>
          <w:bCs/>
          <w:color w:val="2E75B6"/>
          <w:sz w:val="32"/>
          <w:szCs w:val="32"/>
        </w:rPr>
        <w:t xml:space="preserve">Predicción de Hospitalizaciones Prolongadas en Chile</w:t>
      </w:r>
    </w:p>
    <w:p>
      <w:pPr>
        <w:spacing w:after="60" w:before="0"/>
        <w:jc w:val="center"/>
      </w:pPr>
      <w:r>
        <w:rPr>
          <w:rFonts w:ascii="Arial" w:cs="Arial" w:eastAsia="Arial" w:hAnsi="Arial"/>
          <w:color w:val="555555"/>
          <w:sz w:val="24"/>
          <w:szCs w:val="24"/>
        </w:rPr>
        <w:t xml:space="preserve">Análisis de Datos e Inferencia Estadística</w:t>
      </w:r>
    </w:p>
    <w:p>
      <w:pPr>
        <w:spacing w:after="60" w:before="0"/>
        <w:jc w:val="center"/>
      </w:pPr>
      <w:r>
        <w:rPr>
          <w:rFonts w:ascii="Arial" w:cs="Arial" w:eastAsia="Arial" w:hAnsi="Arial"/>
          <w:i/>
          <w:iCs/>
          <w:color w:val="555555"/>
          <w:sz w:val="22"/>
          <w:szCs w:val="22"/>
        </w:rPr>
        <w:t xml:space="preserve">Dataset: EGRESOS HOSPITALARIOS 2024 — DEIS/MINSAL</w:t>
      </w:r>
    </w:p>
    <w:p>
      <w:pPr>
        <w:spacing w:after="400" w:before="0"/>
        <w:jc w:val="center"/>
      </w:pPr>
      <w:r>
        <w:rPr>
          <w:rFonts w:ascii="Arial" w:cs="Arial" w:eastAsia="Arial" w:hAnsi="Arial"/>
          <w:color w:val="555555"/>
          <w:sz w:val="22"/>
          <w:szCs w:val="22"/>
        </w:rPr>
        <w:t xml:space="preserve">2025</w:t>
      </w:r>
    </w:p>
    <w:p>
      <w:pPr>
        <w:pBdr>
          <w:bottom w:val="single" w:color="2E75B6" w:sz="4" w:space="1"/>
        </w:pBdr>
        <w:spacing w:after="120" w:before="120"/>
      </w:pPr>
      <w:r>
        <w:t xml:space="preserve"/>
      </w:r>
    </w:p>
    <w:p>
      <w:r>
        <w:t xml:space="preserve"/>
      </w:r>
    </w:p>
    <w:p>
      <w:r>
        <w:br w:type="page"/>
      </w:r>
    </w:p>
    <w:p>
      <w:pPr>
        <w:pStyle w:val="Heading1"/>
        <w:spacing w:after="120" w:before="360"/>
      </w:pPr>
      <w:r>
        <w:rPr>
          <w:rFonts w:ascii="Arial" w:cs="Arial" w:eastAsia="Arial" w:hAnsi="Arial"/>
          <w:b/>
          <w:bCs/>
          <w:color w:val="1F4E79"/>
          <w:sz w:val="32"/>
          <w:szCs w:val="32"/>
        </w:rPr>
        <w:t xml:space="preserve">1. Pregunta de Investigación</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1.1 Pregunta principal</w:t>
      </w:r>
    </w:p>
    <w:p>
      <w:pPr>
        <w:spacing w:after="60" w:before="60" w:line="276"/>
        <w:jc w:val="both"/>
      </w:pPr>
      <w:r>
        <w:rPr>
          <w:rFonts w:ascii="Arial" w:cs="Arial" w:eastAsia="Arial" w:hAnsi="Arial"/>
          <w:color w:val="555555"/>
          <w:sz w:val="22"/>
          <w:szCs w:val="22"/>
        </w:rPr>
        <w:t xml:space="preserve">¿Qué combinación de factores clínicos y demográficos predice mejor las hospitalizaciones prolongadas (estadía ≥ 7 días) en el sistema hospitalario público y privado de Chile durante el año 2024?</w:t>
      </w:r>
    </w:p>
    <w:p>
      <w:r>
        <w:t xml:space="preserve"/>
      </w:r>
    </w:p>
    <w:p>
      <w:pPr>
        <w:pStyle w:val="Heading2"/>
        <w:spacing w:after="80" w:before="240"/>
      </w:pPr>
      <w:r>
        <w:rPr>
          <w:rFonts w:ascii="Arial" w:cs="Arial" w:eastAsia="Arial" w:hAnsi="Arial"/>
          <w:b/>
          <w:bCs/>
          <w:color w:val="2E75B6"/>
          <w:sz w:val="26"/>
          <w:szCs w:val="26"/>
        </w:rPr>
        <w:t xml:space="preserve">1.2 Preguntas específicas</w:t>
      </w:r>
    </w:p>
    <w:p>
      <w:pPr>
        <w:pStyle w:val="ListParagraph"/>
        <w:numPr>
          <w:ilvl w:val="0"/>
          <w:numId w:val="2"/>
        </w:numPr>
        <w:spacing w:after="40" w:before="40"/>
      </w:pPr>
      <w:r>
        <w:rPr>
          <w:rFonts w:ascii="Arial" w:cs="Arial" w:eastAsia="Arial" w:hAnsi="Arial"/>
          <w:color w:val="555555"/>
          <w:sz w:val="22"/>
          <w:szCs w:val="22"/>
        </w:rPr>
        <w:t xml:space="preserve">¿Qué variables demográficas —edad, sexo y región de residencia— se asocian con mayor duración de hospitalización en la población chilena?</w:t>
      </w:r>
    </w:p>
    <w:p>
      <w:pPr>
        <w:pStyle w:val="ListParagraph"/>
        <w:numPr>
          <w:ilvl w:val="0"/>
          <w:numId w:val="2"/>
        </w:numPr>
        <w:spacing w:after="40" w:before="40"/>
      </w:pPr>
      <w:r>
        <w:rPr>
          <w:rFonts w:ascii="Arial" w:cs="Arial" w:eastAsia="Arial" w:hAnsi="Arial"/>
          <w:color w:val="555555"/>
          <w:sz w:val="22"/>
          <w:szCs w:val="22"/>
        </w:rPr>
        <w:t xml:space="preserve">¿La complejidad clínica aproximada por el diagnóstico principal CIE-10 explica por sí sola las hospitalizaciones prolongadas, o su poder predictivo es complementado por factores demográficos?</w:t>
      </w:r>
    </w:p>
    <w:p>
      <w:pPr>
        <w:pStyle w:val="ListParagraph"/>
        <w:numPr>
          <w:ilvl w:val="0"/>
          <w:numId w:val="2"/>
        </w:numPr>
        <w:spacing w:after="40" w:before="40"/>
      </w:pPr>
      <w:r>
        <w:rPr>
          <w:rFonts w:ascii="Arial" w:cs="Arial" w:eastAsia="Arial" w:hAnsi="Arial"/>
          <w:color w:val="555555"/>
          <w:sz w:val="22"/>
          <w:szCs w:val="22"/>
        </w:rPr>
        <w:t xml:space="preserve">¿Existen diagnósticos específicos (códigos CIE-10) que aumenten significativamente la probabilidad de una estadía atípicamente larga (≥ P90)?</w:t>
      </w:r>
    </w:p>
    <w:p>
      <w:pPr>
        <w:pStyle w:val="ListParagraph"/>
        <w:numPr>
          <w:ilvl w:val="0"/>
          <w:numId w:val="2"/>
        </w:numPr>
        <w:spacing w:after="40" w:before="40"/>
      </w:pPr>
      <w:r>
        <w:rPr>
          <w:rFonts w:ascii="Arial" w:cs="Arial" w:eastAsia="Arial" w:hAnsi="Arial"/>
          <w:color w:val="555555"/>
          <w:sz w:val="22"/>
          <w:szCs w:val="22"/>
        </w:rPr>
        <w:t xml:space="preserve">¿El modelo predictivo mejora cuando se combinan factores clínicos y demográficos respecto a usar solo uno de los dos grupos?</w:t>
      </w:r>
    </w:p>
    <w:p>
      <w:r>
        <w:t xml:space="preserve"/>
      </w:r>
    </w:p>
    <w:p>
      <w:pPr>
        <w:pStyle w:val="Heading2"/>
        <w:spacing w:after="80" w:before="240"/>
      </w:pPr>
      <w:r>
        <w:rPr>
          <w:rFonts w:ascii="Arial" w:cs="Arial" w:eastAsia="Arial" w:hAnsi="Arial"/>
          <w:b/>
          <w:bCs/>
          <w:color w:val="2E75B6"/>
          <w:sz w:val="26"/>
          <w:szCs w:val="26"/>
        </w:rPr>
        <w:t xml:space="preserve">1.3 Contextualización y relevancia</w:t>
      </w:r>
    </w:p>
    <w:p>
      <w:pPr>
        <w:spacing w:after="60" w:before="60" w:line="276"/>
        <w:jc w:val="both"/>
      </w:pPr>
      <w:r>
        <w:rPr>
          <w:rFonts w:ascii="Arial" w:cs="Arial" w:eastAsia="Arial" w:hAnsi="Arial"/>
          <w:color w:val="555555"/>
          <w:sz w:val="22"/>
          <w:szCs w:val="22"/>
        </w:rPr>
        <w:t xml:space="preserve">El sistema de salud chileno financia la atención hospitalaria del sector público mediante el mecanismo de pago por Grupos Relacionados al Diagnóstico (GRD), implementado progresivamente desde 2014. En este esquema, cada hospitalización se clasifica en un grupo según diagnóstico principal, procedimientos y severidad, y recibe un pago fijo asociado a su peso relativo. Las hospitalizaciones que exceden la estancia esperada para su GRD —denominadas outliers superiores— generan un sobrecosto no financiado que presiona el presupuesto hospitalario, compromete la gestión de camas y puede deteriorar la calidad de atención.</w:t>
      </w:r>
    </w:p>
    <w:p>
      <w:pPr>
        <w:spacing w:after="60" w:before="60" w:line="276"/>
        <w:jc w:val="both"/>
      </w:pPr>
      <w:r>
        <w:rPr>
          <w:rFonts w:ascii="Arial" w:cs="Arial" w:eastAsia="Arial" w:hAnsi="Arial"/>
          <w:color w:val="555555"/>
          <w:sz w:val="22"/>
          <w:szCs w:val="22"/>
        </w:rPr>
        <w:t xml:space="preserve">Los egresos hospitalarios de 2024 registrados por el DEIS/MINSAL contienen 1.667.349 registros con información demográfica (edad, sexo, región, previsión), clínica (diagnóstico principal CIE-10, condición de egreso) e institucional (pertenencia al SNSS). Este volumen permite construir modelos predictivos con alta representatividad poblacional para identificar los factores que, al ingreso, anticipan una estadía prolongada.</w:t>
      </w:r>
    </w:p>
    <w:p>
      <w:pPr>
        <w:spacing w:after="60" w:before="60" w:line="276"/>
        <w:jc w:val="both"/>
      </w:pPr>
      <w:r>
        <w:rPr>
          <w:rFonts w:ascii="Arial" w:cs="Arial" w:eastAsia="Arial" w:hAnsi="Arial"/>
          <w:color w:val="555555"/>
          <w:sz w:val="22"/>
          <w:szCs w:val="22"/>
        </w:rPr>
        <w:t xml:space="preserve">La identificación temprana de pacientes en riesgo de hospitalización prolongada tiene implicancias directas en la planificación de camas, la asignación de recursos de enfermería, la coordinación de alta y la reducción de infecciones asociadas a la atención en salud (IAAS), que se incrementan con la duración de la estadía.</w:t>
      </w:r>
    </w:p>
    <w:p>
      <w:r>
        <w:t xml:space="preserve"/>
      </w:r>
    </w:p>
    <w:p>
      <w:pPr>
        <w:pStyle w:val="Heading2"/>
        <w:spacing w:after="80" w:before="240"/>
      </w:pPr>
      <w:r>
        <w:rPr>
          <w:rFonts w:ascii="Arial" w:cs="Arial" w:eastAsia="Arial" w:hAnsi="Arial"/>
          <w:b/>
          <w:bCs/>
          <w:color w:val="2E75B6"/>
          <w:sz w:val="26"/>
          <w:szCs w:val="26"/>
        </w:rPr>
        <w:t xml:space="preserve">1.4 Hipótesis de trabajo</w:t>
      </w:r>
    </w:p>
    <w:p>
      <w:pPr>
        <w:spacing w:after="60" w:before="60" w:line="276"/>
        <w:jc w:val="both"/>
      </w:pPr>
      <w:r>
        <w:rPr>
          <w:rFonts w:ascii="Arial" w:cs="Arial" w:eastAsia="Arial" w:hAnsi="Arial"/>
          <w:color w:val="555555"/>
          <w:sz w:val="22"/>
          <w:szCs w:val="22"/>
        </w:rPr>
        <w:t xml:space="preserve">H1: La combinación de factores clínicos (diagnóstico CIE-10) y demográficos (edad, sexo, región, previsión) predice la hospitalización prolongada con mejor desempeño (AUC-ROC &gt; 0.78) que cualquiera de los dos grupos de variables de forma aislada.</w:t>
      </w:r>
    </w:p>
    <w:p>
      <w:pPr>
        <w:spacing w:after="60" w:before="60" w:line="276"/>
        <w:jc w:val="both"/>
      </w:pPr>
      <w:r>
        <w:rPr>
          <w:rFonts w:ascii="Arial" w:cs="Arial" w:eastAsia="Arial" w:hAnsi="Arial"/>
          <w:color w:val="555555"/>
          <w:sz w:val="22"/>
          <w:szCs w:val="22"/>
        </w:rPr>
        <w:t xml:space="preserve">H2: La edad del paciente y el diagnóstico principal son los predictores con mayor importancia relativa en el modelo combinado.</w:t>
      </w:r>
    </w:p>
    <w:p>
      <w:pPr>
        <w:spacing w:after="60" w:before="60" w:line="276"/>
        <w:jc w:val="both"/>
      </w:pPr>
      <w:r>
        <w:rPr>
          <w:rFonts w:ascii="Arial" w:cs="Arial" w:eastAsia="Arial" w:hAnsi="Arial"/>
          <w:color w:val="555555"/>
          <w:sz w:val="22"/>
          <w:szCs w:val="22"/>
        </w:rPr>
        <w:t xml:space="preserve">H3: Existen diagnósticos específicos (especialmente de los capítulos F —trastornos mentales—, G —neurológico— e I —cardiovascular— de CIE-10) que por sí solos elevan significativamente la probabilidad de estadía prolongada.</w:t>
      </w:r>
    </w:p>
    <w:p>
      <w:r>
        <w:t xml:space="preserve"/>
      </w:r>
    </w:p>
    <w:p>
      <w:pPr>
        <w:pStyle w:val="Heading2"/>
        <w:spacing w:after="80" w:before="240"/>
      </w:pPr>
      <w:r>
        <w:rPr>
          <w:rFonts w:ascii="Arial" w:cs="Arial" w:eastAsia="Arial" w:hAnsi="Arial"/>
          <w:b/>
          <w:bCs/>
          <w:color w:val="2E75B6"/>
          <w:sz w:val="26"/>
          <w:szCs w:val="26"/>
        </w:rPr>
        <w:t xml:space="preserve">1.5 Definición operacional de la variable objetivo</w:t>
      </w:r>
    </w:p>
    <w:p>
      <w:pPr>
        <w:spacing w:after="60" w:before="60" w:line="276"/>
        <w:jc w:val="both"/>
      </w:pPr>
      <w:r>
        <w:rPr>
          <w:rFonts w:ascii="Arial" w:cs="Arial" w:eastAsia="Arial" w:hAnsi="Arial"/>
          <w:color w:val="555555"/>
          <w:sz w:val="22"/>
          <w:szCs w:val="22"/>
        </w:rPr>
        <w:t xml:space="preserve">La variable dependiente es estadia_prolongada, definida como una estadía hospitalaria de 7 o más días (DIAS_ESTADA ≥ 7). Este umbral corresponde aproximadamente al percentil 75 de la distribución del dataset (P75 = 6 días) y es consistente con el umbral de "primera semana hospitalaria" ampliamente utilizado en la literatura clínica chilena e internacional (Marfil-Garza et al., 2018; Frontiers AI, 2023). La binarización permite abordar el problema como clasificación supervisada, con 1 = estadía prolongada y 0 = estadía normal.</w:t>
      </w:r>
    </w:p>
    <w:p>
      <w:r>
        <w:t xml:space="preserve"/>
      </w:r>
    </w:p>
    <w:p>
      <w:r>
        <w:br w:type="page"/>
      </w:r>
    </w:p>
    <w:p>
      <w:pPr>
        <w:pStyle w:val="Heading1"/>
        <w:spacing w:after="120" w:before="360"/>
      </w:pPr>
      <w:r>
        <w:rPr>
          <w:rFonts w:ascii="Arial" w:cs="Arial" w:eastAsia="Arial" w:hAnsi="Arial"/>
          <w:b/>
          <w:bCs/>
          <w:color w:val="1F4E79"/>
          <w:sz w:val="32"/>
          <w:szCs w:val="32"/>
        </w:rPr>
        <w:t xml:space="preserve">2. Revisión de Literatura</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2.1 Contexto: el sistema GRD en Chile</w:t>
      </w:r>
    </w:p>
    <w:p>
      <w:pPr>
        <w:spacing w:after="60" w:before="60" w:line="276"/>
        <w:jc w:val="both"/>
      </w:pPr>
      <w:r>
        <w:rPr>
          <w:rFonts w:ascii="Arial" w:cs="Arial" w:eastAsia="Arial" w:hAnsi="Arial"/>
          <w:color w:val="555555"/>
          <w:sz w:val="22"/>
          <w:szCs w:val="22"/>
        </w:rPr>
        <w:t xml:space="preserve">El sistema de Grupos Relacionados al Diagnóstico fue introducido en Chile como mecanismo de financiamiento hospitalario a partir de 2014, luego de una fase piloto iniciada en 2002. Según el análisis de CLAPES UC (2021), el GRD busca vincular el pago a la complejidad real de los pacientes atendidos, medida por el peso relativo de cada grupo. Sin embargo, el sistema genera incentivos para reducir la estancia media, lo que puede derivar en altas prematuras o, inversamente, en sobreuso de días cama para ciertos GRD rentables. El mecanismo clasifica a los pacientes según diagnóstico principal (CIE-10), procedimientos realizados y severidad de la enfermedad expresada en niveles 1 (menor), 2 (moderado) y 3 (mayor) (HUAP, 2020).</w:t>
      </w:r>
    </w:p>
    <w:p>
      <w:pPr>
        <w:spacing w:after="60" w:before="60" w:line="276"/>
        <w:jc w:val="both"/>
      </w:pPr>
      <w:r>
        <w:rPr>
          <w:rFonts w:ascii="Arial" w:cs="Arial" w:eastAsia="Arial" w:hAnsi="Arial"/>
          <w:color w:val="555555"/>
          <w:sz w:val="22"/>
          <w:szCs w:val="22"/>
        </w:rPr>
        <w:t xml:space="preserve">La estancia media ajustada por case-mix (EMAC) es el indicador central de gestión hospitalaria en el sistema GRD chileno. Los hospitales con EMAC superior a la estancia estándar de su GRD incurren en sobrecosto, mientras que quienes la reducen obtienen excedente. Un análisis de 26 hospitales públicos de alta complejidad (Cuadernos Médico Sociales, 2019) mostró que el porcentaje de outliers superiores varía ampliamente entre establecimientos, lo que sugiere factores estructurales más allá del diagnóstico que determinan la duración real de la estancia.</w:t>
      </w:r>
    </w:p>
    <w:p>
      <w:r>
        <w:t xml:space="preserve"/>
      </w:r>
    </w:p>
    <w:p>
      <w:pPr>
        <w:pStyle w:val="Heading2"/>
        <w:spacing w:after="80" w:before="240"/>
      </w:pPr>
      <w:r>
        <w:rPr>
          <w:rFonts w:ascii="Arial" w:cs="Arial" w:eastAsia="Arial" w:hAnsi="Arial"/>
          <w:b/>
          <w:bCs/>
          <w:color w:val="2E75B6"/>
          <w:sz w:val="26"/>
          <w:szCs w:val="26"/>
        </w:rPr>
        <w:t xml:space="preserve">2.2 Factores demográficos asociados a estadía prolongada</w:t>
      </w:r>
    </w:p>
    <w:p>
      <w:pPr>
        <w:spacing w:after="60" w:before="60" w:line="276"/>
        <w:jc w:val="both"/>
      </w:pPr>
      <w:r>
        <w:rPr>
          <w:rFonts w:ascii="Arial" w:cs="Arial" w:eastAsia="Arial" w:hAnsi="Arial"/>
          <w:color w:val="555555"/>
          <w:sz w:val="22"/>
          <w:szCs w:val="22"/>
        </w:rPr>
        <w:t xml:space="preserve">La edad avanzada es el predictor demográfico más consistente en la literatura internacional y latinoamericana. Villalobos et al. (2019), en un estudio cubano de casos y controles, encontraron que la edad superior a 65 años es un factor independiente de estadía prolongada (OR ajustado: 1.78), con una presencia en el 63% de los pacientes con estancias superiores a nueve días en diagnósticos musculoesqueléticos y urológicos. En España, García-Torrecillas et al. (Gaceta Sanitaria, 2016), en un estudio longitudinal de 1.180 pacientes mayores de 80 años, confirmaron mediante regresión logística binaria que la edad avanzada, la mayor comorbilidad y el deterioro funcional al ingreso son predictores independientes de estancia prolongada (OR: 2.04 para estadías &gt; 12 días). Este estudio también demostró que la estadía prolongada es un factor de riesgo independiente de mortalidad a seis meses post-alta.</w:t>
      </w:r>
    </w:p>
    <w:p>
      <w:pPr>
        <w:spacing w:after="60" w:before="60" w:line="276"/>
        <w:jc w:val="both"/>
      </w:pPr>
      <w:r>
        <w:rPr>
          <w:rFonts w:ascii="Arial" w:cs="Arial" w:eastAsia="Arial" w:hAnsi="Arial"/>
          <w:color w:val="555555"/>
          <w:sz w:val="22"/>
          <w:szCs w:val="22"/>
        </w:rPr>
        <w:t xml:space="preserve">El sexo ha mostrado efectos variables según la patología. En el contexto chileno de rehospitalizaciones, Funcín-Zamora (2015) —usando datos GRD 2013 de dos hospitales de Santiago— identificó que ser mujer se asoció con mayor riesgo de reingreso a 30 días (antecedente de insuficiencia cardíaca y síndromes coronarios agudos como mediadores), aunque el efecto del sexo sobre la duración inicial de la estadía fue menos consistente. En la cohorte COVID-19 chilena del Hospital El Carmen (Revista Médica de Chile, 2021), el sexo masculino y la edad avanzada fueron los principales predictores de hospitalización grave, lo que sugiere que la interacción sexo-diagnóstico es relevante.</w:t>
      </w:r>
    </w:p>
    <w:p>
      <w:pPr>
        <w:spacing w:after="60" w:before="60" w:line="276"/>
        <w:jc w:val="both"/>
      </w:pPr>
      <w:r>
        <w:rPr>
          <w:rFonts w:ascii="Arial" w:cs="Arial" w:eastAsia="Arial" w:hAnsi="Arial"/>
          <w:color w:val="555555"/>
          <w:sz w:val="22"/>
          <w:szCs w:val="22"/>
        </w:rPr>
        <w:t xml:space="preserve">La Superintendencia de Salud de Chile (2024) documentó que las estadías más prolongadas en adultos mayores (&gt; 150 días) se concentran en diagnósticos de salud mental, demencias y síndrome de carencias sociales, con la Región Metropolitana concentrando el 39% de estos egresos. Este fenómeno, denominado "hospitalización social", evidencia que los factores regionales y socioeconómicos modulan la duración de la estadía más allá de la patología de ingreso.</w:t>
      </w:r>
    </w:p>
    <w:p>
      <w:r>
        <w:t xml:space="preserve"/>
      </w:r>
    </w:p>
    <w:p>
      <w:pPr>
        <w:pStyle w:val="Heading2"/>
        <w:spacing w:after="80" w:before="240"/>
      </w:pPr>
      <w:r>
        <w:rPr>
          <w:rFonts w:ascii="Arial" w:cs="Arial" w:eastAsia="Arial" w:hAnsi="Arial"/>
          <w:b/>
          <w:bCs/>
          <w:color w:val="2E75B6"/>
          <w:sz w:val="26"/>
          <w:szCs w:val="26"/>
        </w:rPr>
        <w:t xml:space="preserve">2.3 Factores clínicos y complejidad diagnóstica</w:t>
      </w:r>
    </w:p>
    <w:p>
      <w:pPr>
        <w:spacing w:after="60" w:before="60" w:line="276"/>
        <w:jc w:val="both"/>
      </w:pPr>
      <w:r>
        <w:rPr>
          <w:rFonts w:ascii="Arial" w:cs="Arial" w:eastAsia="Arial" w:hAnsi="Arial"/>
          <w:color w:val="555555"/>
          <w:sz w:val="22"/>
          <w:szCs w:val="22"/>
        </w:rPr>
        <w:t xml:space="preserve">En el ámbito clínico, la revisión sistemática de Verburg et al. (Frontiers in Medicine, 2023) sobre herramientas de predicción de estadía hospitalaria en 25 estudios identificó que las comorbilidades y los puntajes de severidad son las categorías de predictores más relevantes, seguidas por características demográficas y de admisión. El corte para definir estadía prolongada varió entre 5 y 14 días según los estudios; los modelos con machine learning (Random Forest, Gradient Boosting) mostraron un AUC-ROC en el intervalo 0.596–0.798.</w:t>
      </w:r>
    </w:p>
    <w:p>
      <w:pPr>
        <w:spacing w:after="60" w:before="60" w:line="276"/>
        <w:jc w:val="both"/>
      </w:pPr>
      <w:r>
        <w:rPr>
          <w:rFonts w:ascii="Arial" w:cs="Arial" w:eastAsia="Arial" w:hAnsi="Arial"/>
          <w:color w:val="555555"/>
          <w:sz w:val="22"/>
          <w:szCs w:val="22"/>
        </w:rPr>
        <w:t xml:space="preserve">Marin et al. (Frontiers AI, 2023), en un hospital universitario francés con 73.182 hospitalizaciones, compararon cinco algoritmos (regresión logística, CART, Random Forest, Gradient Boosting y redes neuronales) para predecir estadía prolongada definida según el percentil 90 (&gt; 14 días). El Gradient Boosting obtuvo el mejor AUC (no reportado con exactitud en el abstract pero superior a 0.80), mientras que la regresión logística resultó competitiva en interpretabilidad. El diagnóstico principal fue el predictor de mayor importancia en todos los modelos, seguido por la edad y el tipo de admisión.</w:t>
      </w:r>
    </w:p>
    <w:p>
      <w:pPr>
        <w:spacing w:after="60" w:before="60" w:line="276"/>
        <w:jc w:val="both"/>
      </w:pPr>
      <w:r>
        <w:rPr>
          <w:rFonts w:ascii="Arial" w:cs="Arial" w:eastAsia="Arial" w:hAnsi="Arial"/>
          <w:color w:val="555555"/>
          <w:sz w:val="22"/>
          <w:szCs w:val="22"/>
        </w:rPr>
        <w:t xml:space="preserve">En el contexto de datos administrativos a gran escala, Jiang et al. (BMC Health Services Research, 2024), utilizando 2.3 millones de registros de hospitales de Nueva York, demostraron que el código de diagnóstico CIE (Clinical Classifications Software, CCS) y la severidad de la enfermedad permiten predecir la estadía con R² = 0.43 para adultos en general, mejorando a R² = 0.62 cuando el análisis se restringe a enfermedades cardiovasculares. El Grupo Relacionado al Diagnóstico fue la variable de mayor importancia en modelos de no-recién nacidos, validando la aproximación propuesta en este proyecto de usar DIAG1 como proxy de complejidad clínica.</w:t>
      </w:r>
    </w:p>
    <w:p>
      <w:pPr>
        <w:spacing w:after="60" w:before="60" w:line="276"/>
        <w:jc w:val="both"/>
      </w:pPr>
      <w:r>
        <w:rPr>
          <w:rFonts w:ascii="Arial" w:cs="Arial" w:eastAsia="Arial" w:hAnsi="Arial"/>
          <w:color w:val="555555"/>
          <w:sz w:val="22"/>
          <w:szCs w:val="22"/>
        </w:rPr>
        <w:t xml:space="preserve">Para el sistema chileno específicamente, el benchmarking GRD de Metamodelo.cl (2021) con datos de 65 hospitales públicos mostró que la estancia media depurada para colecistectomías laparoscópicas varía entre 1.1 días (hospitales programados) y 7.8 días (urgencias del Complejo San José), con un 57% de outliers superiores en este último. La variable tipo de ingreso (urgente vs. programado) fue más explicativa de la variabilidad que la edad o las comorbilidades en esa muestra, lo que sugiere que los factores institucionales y de gestión interactúan con los clínicos.</w:t>
      </w:r>
    </w:p>
    <w:p>
      <w:r>
        <w:t xml:space="preserve"/>
      </w:r>
    </w:p>
    <w:p>
      <w:pPr>
        <w:pStyle w:val="Heading2"/>
        <w:spacing w:after="80" w:before="240"/>
      </w:pPr>
      <w:r>
        <w:rPr>
          <w:rFonts w:ascii="Arial" w:cs="Arial" w:eastAsia="Arial" w:hAnsi="Arial"/>
          <w:b/>
          <w:bCs/>
          <w:color w:val="2E75B6"/>
          <w:sz w:val="26"/>
          <w:szCs w:val="26"/>
        </w:rPr>
        <w:t xml:space="preserve">2.4 Machine learning aplicado a predicción de estadía hospitalaria</w:t>
      </w:r>
    </w:p>
    <w:p>
      <w:pPr>
        <w:spacing w:after="60" w:before="60" w:line="276"/>
        <w:jc w:val="both"/>
      </w:pPr>
      <w:r>
        <w:rPr>
          <w:rFonts w:ascii="Arial" w:cs="Arial" w:eastAsia="Arial" w:hAnsi="Arial"/>
          <w:color w:val="555555"/>
          <w:sz w:val="22"/>
          <w:szCs w:val="22"/>
        </w:rPr>
        <w:t xml:space="preserve">La revisión de Daghistani et al. (Applied Sciences, 2024) sobre algoritmos de machine learning para predicción de estadía hospitalaria identificó que Random Forest y Support Vector Machine son los más reportados en literatura reciente, por su robustez frente a datos de alta dimensionalidad y su capacidad de capturar interacciones no lineales. La información demográfica emergió como uno de los predictores más relevantes en los modelos revisados, junto con el tipo de admisión y el diagnóstico.</w:t>
      </w:r>
    </w:p>
    <w:p>
      <w:pPr>
        <w:spacing w:after="60" w:before="60" w:line="276"/>
        <w:jc w:val="both"/>
      </w:pPr>
      <w:r>
        <w:rPr>
          <w:rFonts w:ascii="Arial" w:cs="Arial" w:eastAsia="Arial" w:hAnsi="Arial"/>
          <w:color w:val="555555"/>
          <w:sz w:val="22"/>
          <w:szCs w:val="22"/>
        </w:rPr>
        <w:t xml:space="preserve">Lee et al. (JMIR, 2024), en dos hospitales universitarios de Corea del Sur, desarrollaron modelos multiclase para predecir estadías de 3 a 7 días o más, usando datos del historial clínico electrónico en formato OMOP CDM. Sus modelos de Random Forest y XGBoost superaron a la regresión logística en AUC-ROC (0.82 vs. 0.74), especialmente en admisiones programadas. Este estudio es relevante porque establece el umbral de 7 días como punto de corte clínicamente significativo, coincidiendo con la definición operacional de este proyecto.</w:t>
      </w:r>
    </w:p>
    <w:p>
      <w:pPr>
        <w:spacing w:after="60" w:before="60" w:line="276"/>
        <w:jc w:val="both"/>
      </w:pPr>
      <w:r>
        <w:rPr>
          <w:rFonts w:ascii="Arial" w:cs="Arial" w:eastAsia="Arial" w:hAnsi="Arial"/>
          <w:color w:val="555555"/>
          <w:sz w:val="22"/>
          <w:szCs w:val="22"/>
        </w:rPr>
        <w:t xml:space="preserve">Pang et al. (PMC, 2024), analizando datos pre y post-COVID de hospitales chinos (158.854 y 217.970 pacientes, respectivamente), destacaron que el estado de aseguramiento médico del paciente —equivalente a la previsión en el sistema chileno— fue el predictor más importante en XGBoost, superando incluso al diagnóstico en algunos periodos. Esto respalda la inclusión de PREVISION como variable de interés en nuestro modelo.</w:t>
      </w:r>
    </w:p>
    <w:p>
      <w:r>
        <w:t xml:space="preserve"/>
      </w:r>
    </w:p>
    <w:p>
      <w:pPr>
        <w:pStyle w:val="Heading2"/>
        <w:spacing w:after="80" w:before="240"/>
      </w:pPr>
      <w:r>
        <w:rPr>
          <w:rFonts w:ascii="Arial" w:cs="Arial" w:eastAsia="Arial" w:hAnsi="Arial"/>
          <w:b/>
          <w:bCs/>
          <w:color w:val="2E75B6"/>
          <w:sz w:val="26"/>
          <w:szCs w:val="26"/>
        </w:rPr>
        <w:t xml:space="preserve">2.5 Gap identificado</w:t>
      </w:r>
    </w:p>
    <w:p>
      <w:pPr>
        <w:pBdr>
          <w:left w:val="single" w:color="1B5E20" w:sz="12" w:space="8"/>
        </w:pBdr>
        <w:spacing w:after="80" w:before="80"/>
        <w:ind w:left="360"/>
      </w:pPr>
      <w:r>
        <w:rPr>
          <w:rFonts w:ascii="Arial" w:cs="Arial" w:eastAsia="Arial" w:hAnsi="Arial"/>
          <w:b/>
          <w:bCs/>
          <w:color w:val="1B5E20"/>
          <w:sz w:val="22"/>
          <w:szCs w:val="22"/>
        </w:rPr>
        <w:t xml:space="preserve">Gap identificado: </w:t>
      </w:r>
      <w:r>
        <w:rPr>
          <w:rFonts w:ascii="Arial" w:cs="Arial" w:eastAsia="Arial" w:hAnsi="Arial"/>
          <w:color w:val="555555"/>
          <w:sz w:val="22"/>
          <w:szCs w:val="22"/>
        </w:rPr>
        <w:t xml:space="preserve">La literatura internacional sobre predicción de estadía hospitalaria con machine learning es abundante, pero los estudios en Chile son escasos y se limitan a análisis descriptivos de la gestión GRD o estudios de una sola institución. No existe, hasta donde se ha identificado, un modelo predictivo de estadía prolongada entrenado sobre el registro nacional de egresos del DEIS/MINSAL que compare explícitamente el poder predictivo de factores demográficos versus clínicos. Además, la mayoría de los estudios nacionales disponibles trabajan con muestras pequeñas (&lt; 5.000 pacientes) o son anteriores a la implementación plena del GRD (2019). Este proyecto cierra ese gap utilizando el dataset completo de egresos hospitalarios 2024 (1.667.349 registros) con representación de todos los servicios de salud del país.</w:t>
      </w:r>
    </w:p>
    <w:p>
      <w:r>
        <w:t xml:space="preserve"/>
      </w:r>
    </w:p>
    <w:p>
      <w:pPr>
        <w:pStyle w:val="Heading2"/>
        <w:spacing w:after="80" w:before="240"/>
      </w:pPr>
      <w:r>
        <w:rPr>
          <w:rFonts w:ascii="Arial" w:cs="Arial" w:eastAsia="Arial" w:hAnsi="Arial"/>
          <w:b/>
          <w:bCs/>
          <w:color w:val="2E75B6"/>
          <w:sz w:val="26"/>
          <w:szCs w:val="26"/>
        </w:rPr>
        <w:t xml:space="preserve">2.6 Referencias</w:t>
      </w:r>
    </w:p>
    <w:p>
      <w:pPr>
        <w:spacing w:after="40" w:before="40"/>
        <w:ind w:left="360" w:hanging="360"/>
      </w:pPr>
      <w:r>
        <w:rPr>
          <w:rFonts w:ascii="Arial" w:cs="Arial" w:eastAsia="Arial" w:hAnsi="Arial"/>
          <w:color w:val="555555"/>
          <w:sz w:val="18"/>
          <w:szCs w:val="18"/>
        </w:rPr>
        <w:t xml:space="preserve">1. CLAPES UC (2021). Gestión hospitalaria pública en Chile y el mecanismo de pago GRD. Pontificia Universidad Católica de Chile.</w:t>
      </w:r>
    </w:p>
    <w:p>
      <w:pPr>
        <w:spacing w:after="40" w:before="40"/>
        <w:ind w:left="360" w:hanging="360"/>
      </w:pPr>
      <w:r>
        <w:rPr>
          <w:rFonts w:ascii="Arial" w:cs="Arial" w:eastAsia="Arial" w:hAnsi="Arial"/>
          <w:color w:val="555555"/>
          <w:sz w:val="18"/>
          <w:szCs w:val="18"/>
        </w:rPr>
        <w:t xml:space="preserve">2. Cuadernos Médico Sociales Chile (2019). Análisis de la eficiencia de los hospitales públicos de alta complejidad en Chile entre 2014 y 2018. Vol. 59(2):13-17.</w:t>
      </w:r>
    </w:p>
    <w:p>
      <w:pPr>
        <w:spacing w:after="40" w:before="40"/>
        <w:ind w:left="360" w:hanging="360"/>
      </w:pPr>
      <w:r>
        <w:rPr>
          <w:rFonts w:ascii="Arial" w:cs="Arial" w:eastAsia="Arial" w:hAnsi="Arial"/>
          <w:color w:val="555555"/>
          <w:sz w:val="18"/>
          <w:szCs w:val="18"/>
        </w:rPr>
        <w:t xml:space="preserve">3. Funcín-Zamora H. (2015). Variables asociadas a la rehospitalización en dos hospitales chilenos. Sociedad de Políticas Públicas de Chile.</w:t>
      </w:r>
    </w:p>
    <w:p>
      <w:pPr>
        <w:spacing w:after="40" w:before="40"/>
        <w:ind w:left="360" w:hanging="360"/>
      </w:pPr>
      <w:r>
        <w:rPr>
          <w:rFonts w:ascii="Arial" w:cs="Arial" w:eastAsia="Arial" w:hAnsi="Arial"/>
          <w:color w:val="555555"/>
          <w:sz w:val="18"/>
          <w:szCs w:val="18"/>
        </w:rPr>
        <w:t xml:space="preserve">4. Gaceta Sanitaria (2016). Influencia de la duración de la estancia hospitalaria sobre la mortalidad tras el alta en pacientes mayores. García-Torrecillas et al. Vol. 30(5).</w:t>
      </w:r>
    </w:p>
    <w:p>
      <w:pPr>
        <w:spacing w:after="40" w:before="40"/>
        <w:ind w:left="360" w:hanging="360"/>
      </w:pPr>
      <w:r>
        <w:rPr>
          <w:rFonts w:ascii="Arial" w:cs="Arial" w:eastAsia="Arial" w:hAnsi="Arial"/>
          <w:color w:val="555555"/>
          <w:sz w:val="18"/>
          <w:szCs w:val="18"/>
        </w:rPr>
        <w:t xml:space="preserve">5. HUAP — Hospital de Urgencia Asistencia Pública (2020). Unidad de Análisis Clínico GRD. Red de Salud, Ministerio de Salud de Chile.</w:t>
      </w:r>
    </w:p>
    <w:p>
      <w:pPr>
        <w:spacing w:after="40" w:before="40"/>
        <w:ind w:left="360" w:hanging="360"/>
      </w:pPr>
      <w:r>
        <w:rPr>
          <w:rFonts w:ascii="Arial" w:cs="Arial" w:eastAsia="Arial" w:hAnsi="Arial"/>
          <w:color w:val="555555"/>
          <w:sz w:val="18"/>
          <w:szCs w:val="18"/>
        </w:rPr>
        <w:t xml:space="preserve">6. Jiang et al. (2024). Predicting hospital length of stay using machine learning on a large open health dataset. BMC Health Services Research.</w:t>
      </w:r>
    </w:p>
    <w:p>
      <w:pPr>
        <w:spacing w:after="40" w:before="40"/>
        <w:ind w:left="360" w:hanging="360"/>
      </w:pPr>
      <w:r>
        <w:rPr>
          <w:rFonts w:ascii="Arial" w:cs="Arial" w:eastAsia="Arial" w:hAnsi="Arial"/>
          <w:color w:val="555555"/>
          <w:sz w:val="18"/>
          <w:szCs w:val="18"/>
        </w:rPr>
        <w:t xml:space="preserve">7. Lee H. et al. (2024). Hospital Length of Stay Prediction for Planned Admissions Using OMOP CDM. Journal of Medical Internet Research (JMIR).</w:t>
      </w:r>
    </w:p>
    <w:p>
      <w:pPr>
        <w:spacing w:after="40" w:before="40"/>
        <w:ind w:left="360" w:hanging="360"/>
      </w:pPr>
      <w:r>
        <w:rPr>
          <w:rFonts w:ascii="Arial" w:cs="Arial" w:eastAsia="Arial" w:hAnsi="Arial"/>
          <w:color w:val="555555"/>
          <w:sz w:val="18"/>
          <w:szCs w:val="18"/>
        </w:rPr>
        <w:t xml:space="preserve">8. Mendoza T. et al. (2014). Factores asociados a estancia hospitalaria prolongada en neonatos. Revista Chilena de Pediatría, 85(2):164-173.</w:t>
      </w:r>
    </w:p>
    <w:p>
      <w:pPr>
        <w:spacing w:after="40" w:before="40"/>
        <w:ind w:left="360" w:hanging="360"/>
      </w:pPr>
      <w:r>
        <w:rPr>
          <w:rFonts w:ascii="Arial" w:cs="Arial" w:eastAsia="Arial" w:hAnsi="Arial"/>
          <w:color w:val="555555"/>
          <w:sz w:val="18"/>
          <w:szCs w:val="18"/>
        </w:rPr>
        <w:t xml:space="preserve">9. Metamodelo.cl (2021). Top 5 análisis de hospitales públicos en Chile. Benchmarking clínico GRD.</w:t>
      </w:r>
    </w:p>
    <w:p>
      <w:pPr>
        <w:spacing w:after="40" w:before="40"/>
        <w:ind w:left="360" w:hanging="360"/>
      </w:pPr>
      <w:r>
        <w:rPr>
          <w:rFonts w:ascii="Arial" w:cs="Arial" w:eastAsia="Arial" w:hAnsi="Arial"/>
          <w:color w:val="555555"/>
          <w:sz w:val="18"/>
          <w:szCs w:val="18"/>
        </w:rPr>
        <w:t xml:space="preserve">10. Marin et al. (2023). Machine learning-based prediction of hospital prolonged length of stay from emergency department. Frontiers in Artificial Intelligence.</w:t>
      </w:r>
    </w:p>
    <w:p>
      <w:pPr>
        <w:spacing w:after="40" w:before="40"/>
        <w:ind w:left="360" w:hanging="360"/>
      </w:pPr>
      <w:r>
        <w:rPr>
          <w:rFonts w:ascii="Arial" w:cs="Arial" w:eastAsia="Arial" w:hAnsi="Arial"/>
          <w:color w:val="555555"/>
          <w:sz w:val="18"/>
          <w:szCs w:val="18"/>
        </w:rPr>
        <w:t xml:space="preserve">11. Daghistani T. et al. (2024). Hospital Length-of-Stay Prediction Using Machine Learning Algorithms — A Literature Review. Applied Sciences, 14(22):10523.</w:t>
      </w:r>
    </w:p>
    <w:p>
      <w:pPr>
        <w:spacing w:after="40" w:before="40"/>
        <w:ind w:left="360" w:hanging="360"/>
      </w:pPr>
      <w:r>
        <w:rPr>
          <w:rFonts w:ascii="Arial" w:cs="Arial" w:eastAsia="Arial" w:hAnsi="Arial"/>
          <w:color w:val="555555"/>
          <w:sz w:val="18"/>
          <w:szCs w:val="18"/>
        </w:rPr>
        <w:t xml:space="preserve">12. Pang et al. (2024). Machine learning algorithms for predicting LOS before and during COVID-19. PMC/Frontiers.</w:t>
      </w:r>
    </w:p>
    <w:p>
      <w:pPr>
        <w:spacing w:after="40" w:before="40"/>
        <w:ind w:left="360" w:hanging="360"/>
      </w:pPr>
      <w:r>
        <w:rPr>
          <w:rFonts w:ascii="Arial" w:cs="Arial" w:eastAsia="Arial" w:hAnsi="Arial"/>
          <w:color w:val="555555"/>
          <w:sz w:val="18"/>
          <w:szCs w:val="18"/>
        </w:rPr>
        <w:t xml:space="preserve">13. Revista Médica de Chile (2021). Factores demográficos y comorbilidades asociadas a severidad de COVID-19 en un hospital chileno: el rol clave del nivel socioeconómico.</w:t>
      </w:r>
    </w:p>
    <w:p>
      <w:pPr>
        <w:spacing w:after="40" w:before="40"/>
        <w:ind w:left="360" w:hanging="360"/>
      </w:pPr>
      <w:r>
        <w:rPr>
          <w:rFonts w:ascii="Arial" w:cs="Arial" w:eastAsia="Arial" w:hAnsi="Arial"/>
          <w:color w:val="555555"/>
          <w:sz w:val="18"/>
          <w:szCs w:val="18"/>
        </w:rPr>
        <w:t xml:space="preserve">14. Superintendencia de Salud Chile (2024). Hospitalización Social en Adultos Mayores en el Sistema de Salud de Chile.</w:t>
      </w:r>
    </w:p>
    <w:p>
      <w:pPr>
        <w:spacing w:after="40" w:before="40"/>
        <w:ind w:left="360" w:hanging="360"/>
      </w:pPr>
      <w:r>
        <w:rPr>
          <w:rFonts w:ascii="Arial" w:cs="Arial" w:eastAsia="Arial" w:hAnsi="Arial"/>
          <w:color w:val="555555"/>
          <w:sz w:val="18"/>
          <w:szCs w:val="18"/>
        </w:rPr>
        <w:t xml:space="preserve">15. Verburg I. et al. (2023). Hospital length of stay prediction tools for all hospital admissions and general medicine populations: systematic review and meta-analysis. Frontiers in Medicine.</w:t>
      </w:r>
    </w:p>
    <w:p>
      <w:r>
        <w:t xml:space="preserve"/>
      </w:r>
    </w:p>
    <w:p>
      <w:r>
        <w:br w:type="page"/>
      </w:r>
    </w:p>
    <w:p>
      <w:pPr>
        <w:pStyle w:val="Heading1"/>
        <w:spacing w:after="120" w:before="360"/>
      </w:pPr>
      <w:r>
        <w:rPr>
          <w:rFonts w:ascii="Arial" w:cs="Arial" w:eastAsia="Arial" w:hAnsi="Arial"/>
          <w:b/>
          <w:bCs/>
          <w:color w:val="1F4E79"/>
          <w:sz w:val="32"/>
          <w:szCs w:val="32"/>
        </w:rPr>
        <w:t xml:space="preserve">3. Metodología</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3.1 Tipo de análisis</w:t>
      </w:r>
    </w:p>
    <w:p>
      <w:pPr>
        <w:spacing w:after="60" w:before="60" w:line="276"/>
        <w:jc w:val="both"/>
      </w:pPr>
      <w:r>
        <w:rPr>
          <w:rFonts w:ascii="Arial" w:cs="Arial" w:eastAsia="Arial" w:hAnsi="Arial"/>
          <w:color w:val="555555"/>
          <w:sz w:val="22"/>
          <w:szCs w:val="22"/>
        </w:rPr>
        <w:t xml:space="preserve">El estudio es de tipo predictivo-comparativo con diseño observacional retrospectivo. Se utilizan datos de egresos hospitalarios 2024 del DEIS/MINSAL para construir y comparar modelos de clasificación binaria que predicen la probabilidad de estadía prolongada (≥ 7 días). El análisis incluye una fase descriptiva (EDA, Avance 1) y una fase de modelado (Avance 2). El enfoque comparativo responde a la PQ5: se entrenarán modelos con tres subconjuntos de variables (solo demográficas, solo clínicas, y combinadas) para cuantificar la ganancia predictiva de cada bloque.</w:t>
      </w:r>
    </w:p>
    <w:p>
      <w:r>
        <w:t xml:space="preserve"/>
      </w:r>
    </w:p>
    <w:p>
      <w:pPr>
        <w:pStyle w:val="Heading2"/>
        <w:spacing w:after="80" w:before="240"/>
      </w:pPr>
      <w:r>
        <w:rPr>
          <w:rFonts w:ascii="Arial" w:cs="Arial" w:eastAsia="Arial" w:hAnsi="Arial"/>
          <w:b/>
          <w:bCs/>
          <w:color w:val="2E75B6"/>
          <w:sz w:val="26"/>
          <w:szCs w:val="26"/>
        </w:rPr>
        <w:t xml:space="preserve">3.2 Dataset</w:t>
      </w:r>
    </w:p>
    <w:p>
      <w:pPr>
        <w:spacing w:after="60" w:before="60" w:line="276"/>
        <w:jc w:val="both"/>
      </w:pPr>
      <w:r>
        <w:rPr>
          <w:rFonts w:ascii="Arial" w:cs="Arial" w:eastAsia="Arial" w:hAnsi="Arial"/>
          <w:color w:val="555555"/>
          <w:sz w:val="22"/>
          <w:szCs w:val="22"/>
        </w:rPr>
        <w:t xml:space="preserve">Fuente: Departamento de Estadísticas e Información de Salud (DEIS), Ministerio de Salud de Chile. Año de egresos: 2024. Registros totales: 1.667.349. Variables originales: 15. Formato: CSV delimitado por punto y coma, codificación latin-1.</w:t>
      </w:r>
    </w:p>
    <w:p>
      <w:r>
        <w:t xml:space="preserve"/>
      </w:r>
    </w:p>
    <w:p>
      <w:pPr>
        <w:pStyle w:val="Heading2"/>
        <w:spacing w:after="80" w:before="240"/>
      </w:pPr>
      <w:r>
        <w:rPr>
          <w:rFonts w:ascii="Arial" w:cs="Arial" w:eastAsia="Arial" w:hAnsi="Arial"/>
          <w:b/>
          <w:bCs/>
          <w:color w:val="2E75B6"/>
          <w:sz w:val="26"/>
          <w:szCs w:val="26"/>
        </w:rPr>
        <w:t xml:space="preserve">3.3 Variables seleccionadas y justificación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Justificación</w:t>
            </w:r>
          </w:p>
        </w:tc>
      </w:tr>
      <w:tr>
        <w:trPr>
          <w:tblHeader w:val="false"/>
        </w:trP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GRUPO_EDAD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Demográfica ordinal</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Mayor edad asociada a mayor comorbilidad y estancias prolongadas (Villalobos et al., 2019; Gaceta Sanitaria, 2016)</w:t>
            </w:r>
          </w:p>
        </w:tc>
      </w:tr>
      <w:tr>
        <w:trPr>
          <w:tblHeader w:val="false"/>
        </w:trP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SEXO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Demográfica binaria+</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Diferencias fisiológicas y de acceso al sistema. Incluye categoría 'No identificado' como variable de interés administrativo</w:t>
            </w:r>
          </w:p>
        </w:tc>
      </w:tr>
      <w:tr>
        <w:trPr>
          <w:tblHeader w:val="false"/>
        </w:trP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GLOSA_REGION_RESIDENCIA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Demográfica nominal</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Refleja inequidad territorial en acceso y calidad de atención hospitalaria en Chile</w:t>
            </w:r>
          </w:p>
        </w:tc>
      </w:tr>
      <w:tr>
        <w:trPr>
          <w:tblHeader w:val="false"/>
        </w:trP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PREVISION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Socioeconómica</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Proxy de nivel socioeconómico; FONASA vs ISAPRE muestran diferencias en estancia media (Funcin-Zamora, 2015)</w:t>
            </w:r>
          </w:p>
        </w:tc>
      </w:tr>
      <w:tr>
        <w:trPr>
          <w:tblHeader w:val="false"/>
        </w:trP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DIAG1 (CIE-10)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Clínica nominal</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Diagnóstico principal; proxy de complejidad clínica ante ausencia de peso GRD directo</w:t>
            </w:r>
          </w:p>
        </w:tc>
      </w:tr>
      <w:tr>
        <w:trPr>
          <w:tblHeader w:val="false"/>
        </w:trP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capitulo_cie10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Clínica ordinal derivada</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Agrupación de DIAG1 en capítulos CIE-10 para reducir cardinalidad manteniendo poder predictivo</w:t>
            </w:r>
          </w:p>
        </w:tc>
      </w:tr>
      <w:tr>
        <w:trPr>
          <w:tblHeader w:val="false"/>
        </w:trP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CONDICION_EGRESO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Clínica binaria</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Alta viva vs defunción; la condición de egreso refleja severidad del episodio</w:t>
            </w:r>
          </w:p>
        </w:tc>
      </w:tr>
      <w:tr>
        <w:trPr>
          <w:tblHeader w:val="false"/>
        </w:trP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PERTENENCIA_SNSS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Institucional</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SNSS vs privado; diferencias en protocolos, recursos y gestión de camas</w:t>
            </w:r>
          </w:p>
        </w:tc>
      </w:tr>
      <w:tr>
        <w:trPr>
          <w:tblHeader w:val="false"/>
        </w:trP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DIAS_ESTADA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Variable objetivo (continua)</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Duración en días; binarizada como estadía_prolongada (≥7 días)</w:t>
            </w:r>
          </w:p>
        </w:tc>
      </w:tr>
    </w:tbl>
    <w:p>
      <w:r>
        <w:t xml:space="preserve"/>
      </w:r>
    </w:p>
    <w:p>
      <w:pPr>
        <w:spacing w:after="60" w:before="60"/>
        <w:ind w:left="720"/>
      </w:pPr>
      <w:r>
        <w:rPr>
          <w:rFonts w:ascii="Arial" w:cs="Arial" w:eastAsia="Arial" w:hAnsi="Arial"/>
          <w:b/>
          <w:bCs/>
          <w:color w:val="2E75B6"/>
          <w:sz w:val="20"/>
          <w:szCs w:val="20"/>
        </w:rPr>
        <w:t xml:space="preserve">Nota: </w:t>
      </w:r>
      <w:r>
        <w:rPr>
          <w:rFonts w:ascii="Arial" w:cs="Arial" w:eastAsia="Arial" w:hAnsi="Arial"/>
          <w:i/>
          <w:iCs/>
          <w:color w:val="555555"/>
          <w:sz w:val="20"/>
          <w:szCs w:val="20"/>
        </w:rPr>
        <w:t xml:space="preserve">DIAG2 fue excluida por tener 90.3% de valores nulos. Los registros con SEXO = '*' (n = 28.382, ~1.7%) se conservan como categoría 'No identificado' dado su posible valor informativo administrativo.</w:t>
      </w:r>
    </w:p>
    <w:p>
      <w:r>
        <w:t xml:space="preserve"/>
      </w:r>
    </w:p>
    <w:p>
      <w:pPr>
        <w:pStyle w:val="Heading2"/>
        <w:spacing w:after="80" w:before="240"/>
      </w:pPr>
      <w:r>
        <w:rPr>
          <w:rFonts w:ascii="Arial" w:cs="Arial" w:eastAsia="Arial" w:hAnsi="Arial"/>
          <w:b/>
          <w:bCs/>
          <w:color w:val="2E75B6"/>
          <w:sz w:val="26"/>
          <w:szCs w:val="26"/>
        </w:rPr>
        <w:t xml:space="preserve">3.4 Procesamiento de datos</w:t>
      </w:r>
    </w:p>
    <w:p>
      <w:pPr>
        <w:pStyle w:val="Heading3"/>
        <w:spacing w:after="60" w:before="180"/>
      </w:pPr>
      <w:r>
        <w:rPr>
          <w:rFonts w:ascii="Arial" w:cs="Arial" w:eastAsia="Arial" w:hAnsi="Arial"/>
          <w:b/>
          <w:bCs/>
          <w:color w:val="555555"/>
          <w:sz w:val="24"/>
          <w:szCs w:val="24"/>
        </w:rPr>
        <w:t xml:space="preserve">3.4.1 Limpieza</w:t>
      </w:r>
    </w:p>
    <w:p>
      <w:pPr>
        <w:pStyle w:val="ListParagraph"/>
        <w:numPr>
          <w:ilvl w:val="0"/>
          <w:numId w:val="2"/>
        </w:numPr>
        <w:spacing w:after="40" w:before="40"/>
      </w:pPr>
      <w:r>
        <w:rPr>
          <w:rFonts w:ascii="Arial" w:cs="Arial" w:eastAsia="Arial" w:hAnsi="Arial"/>
          <w:color w:val="555555"/>
          <w:sz w:val="22"/>
          <w:szCs w:val="22"/>
        </w:rPr>
        <w:t xml:space="preserve">Corrección de tipos mixtos en SEXO, PREVISION y REGION_RESIDENCIA (valores numéricos y '*' coexistentes).</w:t>
      </w:r>
    </w:p>
    <w:p>
      <w:pPr>
        <w:pStyle w:val="ListParagraph"/>
        <w:numPr>
          <w:ilvl w:val="0"/>
          <w:numId w:val="2"/>
        </w:numPr>
        <w:spacing w:after="40" w:before="40"/>
      </w:pPr>
      <w:r>
        <w:rPr>
          <w:rFonts w:ascii="Arial" w:cs="Arial" w:eastAsia="Arial" w:hAnsi="Arial"/>
          <w:color w:val="555555"/>
          <w:sz w:val="22"/>
          <w:szCs w:val="22"/>
        </w:rPr>
        <w:t xml:space="preserve">Tratamiento del valor '*' como categoría 'No identificado' en variables afectadas.</w:t>
      </w:r>
    </w:p>
    <w:p>
      <w:pPr>
        <w:pStyle w:val="ListParagraph"/>
        <w:numPr>
          <w:ilvl w:val="0"/>
          <w:numId w:val="2"/>
        </w:numPr>
        <w:spacing w:after="40" w:before="40"/>
      </w:pPr>
      <w:r>
        <w:rPr>
          <w:rFonts w:ascii="Arial" w:cs="Arial" w:eastAsia="Arial" w:hAnsi="Arial"/>
          <w:color w:val="555555"/>
          <w:sz w:val="22"/>
          <w:szCs w:val="22"/>
        </w:rPr>
        <w:t xml:space="preserve">Registros con GLOSA_REGION_RESIDENCIA = 'Extranjero' o 'Ignorada' se mantienen para análisis global pero se excluyen de análisis regionales.</w:t>
      </w:r>
    </w:p>
    <w:p>
      <w:r>
        <w:t xml:space="preserve"/>
      </w:r>
    </w:p>
    <w:p>
      <w:pPr>
        <w:pStyle w:val="Heading3"/>
        <w:spacing w:after="60" w:before="180"/>
      </w:pPr>
      <w:r>
        <w:rPr>
          <w:rFonts w:ascii="Arial" w:cs="Arial" w:eastAsia="Arial" w:hAnsi="Arial"/>
          <w:b/>
          <w:bCs/>
          <w:color w:val="555555"/>
          <w:sz w:val="24"/>
          <w:szCs w:val="24"/>
        </w:rPr>
        <w:t xml:space="preserve">3.4.2 Ingeniería de características</w:t>
      </w:r>
    </w:p>
    <w:p>
      <w:pPr>
        <w:pStyle w:val="ListParagraph"/>
        <w:numPr>
          <w:ilvl w:val="0"/>
          <w:numId w:val="2"/>
        </w:numPr>
        <w:spacing w:after="40" w:before="40"/>
      </w:pPr>
      <w:r>
        <w:rPr>
          <w:rFonts w:ascii="Arial" w:cs="Arial" w:eastAsia="Arial" w:hAnsi="Arial"/>
          <w:color w:val="555555"/>
          <w:sz w:val="22"/>
          <w:szCs w:val="22"/>
        </w:rPr>
        <w:t xml:space="preserve">capitulo_cie10: primera letra de DIAG1 como proxy del sistema orgánico afectado, reduciendo la cardinalidad de 7.162 a 21 categorías.</w:t>
      </w:r>
    </w:p>
    <w:p>
      <w:pPr>
        <w:pStyle w:val="ListParagraph"/>
        <w:numPr>
          <w:ilvl w:val="0"/>
          <w:numId w:val="2"/>
        </w:numPr>
        <w:spacing w:after="40" w:before="40"/>
      </w:pPr>
      <w:r>
        <w:rPr>
          <w:rFonts w:ascii="Arial" w:cs="Arial" w:eastAsia="Arial" w:hAnsi="Arial"/>
          <w:color w:val="555555"/>
          <w:sz w:val="22"/>
          <w:szCs w:val="22"/>
        </w:rPr>
        <w:t xml:space="preserve">estadia_prolongada: binarización de DIAS_ESTADA con umbral ≥ 7 días (P75 + 1).</w:t>
      </w:r>
    </w:p>
    <w:p>
      <w:pPr>
        <w:pStyle w:val="ListParagraph"/>
        <w:numPr>
          <w:ilvl w:val="0"/>
          <w:numId w:val="2"/>
        </w:numPr>
        <w:spacing w:after="40" w:before="40"/>
      </w:pPr>
      <w:r>
        <w:rPr>
          <w:rFonts w:ascii="Arial" w:cs="Arial" w:eastAsia="Arial" w:hAnsi="Arial"/>
          <w:color w:val="555555"/>
          <w:sz w:val="22"/>
          <w:szCs w:val="22"/>
        </w:rPr>
        <w:t xml:space="preserve">edad_ordinal: codificación ordinal de GRUPO_EDAD para modelos de regresión.</w:t>
      </w:r>
    </w:p>
    <w:p>
      <w:pPr>
        <w:pStyle w:val="ListParagraph"/>
        <w:numPr>
          <w:ilvl w:val="0"/>
          <w:numId w:val="2"/>
        </w:numPr>
        <w:spacing w:after="40" w:before="40"/>
      </w:pPr>
      <w:r>
        <w:rPr>
          <w:rFonts w:ascii="Arial" w:cs="Arial" w:eastAsia="Arial" w:hAnsi="Arial"/>
          <w:color w:val="555555"/>
          <w:sz w:val="22"/>
          <w:szCs w:val="22"/>
        </w:rPr>
        <w:t xml:space="preserve">Codificación de variables categóricas nominales (DIAG1, REGION) mediante target encoding o one-hot según el modelo.</w:t>
      </w:r>
    </w:p>
    <w:p>
      <w:r>
        <w:t xml:space="preserve"/>
      </w:r>
    </w:p>
    <w:p>
      <w:pPr>
        <w:pStyle w:val="Heading3"/>
        <w:spacing w:after="60" w:before="180"/>
      </w:pPr>
      <w:r>
        <w:rPr>
          <w:rFonts w:ascii="Arial" w:cs="Arial" w:eastAsia="Arial" w:hAnsi="Arial"/>
          <w:b/>
          <w:bCs/>
          <w:color w:val="555555"/>
          <w:sz w:val="24"/>
          <w:szCs w:val="24"/>
        </w:rPr>
        <w:t xml:space="preserve">3.4.3 Manejo del desbalance de clases</w:t>
      </w:r>
    </w:p>
    <w:p>
      <w:pPr>
        <w:spacing w:after="60" w:before="60" w:line="276"/>
        <w:jc w:val="both"/>
      </w:pPr>
      <w:r>
        <w:rPr>
          <w:rFonts w:ascii="Arial" w:cs="Arial" w:eastAsia="Arial" w:hAnsi="Arial"/>
          <w:color w:val="555555"/>
          <w:sz w:val="22"/>
          <w:szCs w:val="22"/>
        </w:rPr>
        <w:t xml:space="preserve">El dataset presenta un desbalance de 3.4:1 entre la clase normal y la clase prolongada. Se evaluarán tres estrategias: (1) pesos de clase en los modelos (class_weight='balanced'), (2) SMOTE para oversampling de la clase minoritaria, y (3) umbral de clasificación ajustado según la curva Precision-Recall.</w:t>
      </w:r>
    </w:p>
    <w:p>
      <w:r>
        <w:t xml:space="preserve"/>
      </w:r>
    </w:p>
    <w:p>
      <w:pPr>
        <w:pStyle w:val="Heading3"/>
        <w:spacing w:after="60" w:before="180"/>
      </w:pPr>
      <w:r>
        <w:rPr>
          <w:rFonts w:ascii="Arial" w:cs="Arial" w:eastAsia="Arial" w:hAnsi="Arial"/>
          <w:b/>
          <w:bCs/>
          <w:color w:val="555555"/>
          <w:sz w:val="24"/>
          <w:szCs w:val="24"/>
        </w:rPr>
        <w:t xml:space="preserve">3.4.4 Partición de datos</w:t>
      </w:r>
    </w:p>
    <w:p>
      <w:pPr>
        <w:spacing w:after="60" w:before="60" w:line="276"/>
        <w:jc w:val="both"/>
      </w:pPr>
      <w:r>
        <w:rPr>
          <w:rFonts w:ascii="Arial" w:cs="Arial" w:eastAsia="Arial" w:hAnsi="Arial"/>
          <w:color w:val="555555"/>
          <w:sz w:val="22"/>
          <w:szCs w:val="22"/>
        </w:rPr>
        <w:t xml:space="preserve">Train/Test split: 80/20 estratificado por estadia_prolongada. Validación cruzada k-fold (k=5) durante el ajuste de hiperparámetros. El conjunto de test se mantiene separado hasta la evaluación final para evitar data leakage.</w:t>
      </w:r>
    </w:p>
    <w:p>
      <w:r>
        <w:t xml:space="preserve"/>
      </w:r>
    </w:p>
    <w:p>
      <w:pPr>
        <w:pStyle w:val="Heading2"/>
        <w:spacing w:after="80" w:before="240"/>
      </w:pPr>
      <w:r>
        <w:rPr>
          <w:rFonts w:ascii="Arial" w:cs="Arial" w:eastAsia="Arial" w:hAnsi="Arial"/>
          <w:b/>
          <w:bCs/>
          <w:color w:val="2E75B6"/>
          <w:sz w:val="26"/>
          <w:szCs w:val="26"/>
        </w:rPr>
        <w:t xml:space="preserve">3.5 Modelos propuestos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PQ que responde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Regresión Logística (L2)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PQ2, PQ5 (baseline)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Interpretabilidad de coeficientes; permite estimar odds ratio por variable demográfica vs clínica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Árbol de Decisión (CART)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PQ3, PQ4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Reglas explícitas que identifican diagnósticos o combinaciones de corte para estadía prolongada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Random Forest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PQ1, PQ5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Captura interacciones no lineales; importancia de variables compara grupos clínicos vs demográficos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XGBoost / Gradient Boosting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PQ1, PQ5 (competidor)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Alto desempeño en datos tabulares con desbalance; se evaluará junto a Random Forest</w:t>
            </w:r>
          </w:p>
        </w:tc>
      </w:tr>
    </w:tbl>
    <w:p>
      <w:r>
        <w:t xml:space="preserve"/>
      </w:r>
    </w:p>
    <w:p>
      <w:pPr>
        <w:spacing w:after="60" w:before="60" w:line="276"/>
        <w:jc w:val="both"/>
      </w:pPr>
      <w:r>
        <w:rPr>
          <w:rFonts w:ascii="Arial" w:cs="Arial" w:eastAsia="Arial" w:hAnsi="Arial"/>
          <w:color w:val="555555"/>
          <w:sz w:val="22"/>
          <w:szCs w:val="22"/>
        </w:rPr>
        <w:t xml:space="preserve">Para cada modelo se entrenarán tres versiones: (a) solo variables demográficas, (b) solo variables clínicas, (c) variables combinadas. La comparación del AUC-ROC entre versiones responde directamente a PQ5.</w:t>
      </w:r>
    </w:p>
    <w:p>
      <w:r>
        <w:t xml:space="preserve"/>
      </w:r>
    </w:p>
    <w:p>
      <w:pPr>
        <w:pStyle w:val="Heading2"/>
        <w:spacing w:after="80" w:before="240"/>
      </w:pPr>
      <w:r>
        <w:rPr>
          <w:rFonts w:ascii="Arial" w:cs="Arial" w:eastAsia="Arial" w:hAnsi="Arial"/>
          <w:b/>
          <w:bCs/>
          <w:color w:val="2E75B6"/>
          <w:sz w:val="26"/>
          <w:szCs w:val="26"/>
        </w:rPr>
        <w:t xml:space="preserve">3.6 Métricas de evaluación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Relevancia</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Umbral esperado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AUC-ROC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Métrica principal; evalúa discriminación global del modelo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&gt; 0.75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F1-Score (clase positiva)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Necesaria por desbalance de clases (~3.4:1)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&gt; 0.60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Precision / Recall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Balance entre falsos positivos y negativos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Análisis por umbral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Referencia baseline; insuficiente sola por desbalance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Referencial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Importancia de variables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SHAP values o Gini importance (Random Forest)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Cualitativa</w:t>
            </w:r>
          </w:p>
        </w:tc>
      </w:tr>
    </w:tbl>
    <w:p>
      <w:r>
        <w:t xml:space="preserve"/>
      </w:r>
    </w:p>
    <w:p>
      <w:pPr>
        <w:spacing w:after="60" w:before="60" w:line="276"/>
        <w:jc w:val="both"/>
      </w:pPr>
      <w:r>
        <w:rPr>
          <w:rFonts w:ascii="Arial" w:cs="Arial" w:eastAsia="Arial" w:hAnsi="Arial"/>
          <w:color w:val="555555"/>
          <w:sz w:val="22"/>
          <w:szCs w:val="22"/>
        </w:rPr>
        <w:t xml:space="preserve">La selección del modelo final se basará en el AUC-ROC del conjunto de test, considerando también el F1-Score de la clase positiva como métrica secundaria dado el desbalance. Se construirán curvas ROC comparativas entre los tres grupos de variables (demográfico, clínico, combinado).</w:t>
      </w:r>
    </w:p>
    <w:p>
      <w:r>
        <w:t xml:space="preserve"/>
      </w:r>
    </w:p>
    <w:p>
      <w:r>
        <w:br w:type="page"/>
      </w:r>
    </w:p>
    <w:p>
      <w:pPr>
        <w:pStyle w:val="Heading1"/>
        <w:spacing w:after="120" w:before="360"/>
      </w:pPr>
      <w:r>
        <w:rPr>
          <w:rFonts w:ascii="Arial" w:cs="Arial" w:eastAsia="Arial" w:hAnsi="Arial"/>
          <w:b/>
          <w:bCs/>
          <w:color w:val="1F4E79"/>
          <w:sz w:val="32"/>
          <w:szCs w:val="32"/>
        </w:rPr>
        <w:t xml:space="preserve">4. Diagrama Metodológico</w:t>
      </w:r>
    </w:p>
    <w:p>
      <w:pPr>
        <w:pBdr>
          <w:bottom w:val="single" w:color="2E75B6" w:sz="4" w:space="1"/>
        </w:pBdr>
        <w:spacing w:after="120" w:before="120"/>
      </w:pPr>
      <w:r>
        <w:t xml:space="preserve"/>
      </w:r>
    </w:p>
    <w:p>
      <w:pPr>
        <w:spacing w:after="60" w:before="60" w:line="276"/>
        <w:jc w:val="both"/>
      </w:pPr>
      <w:r>
        <w:rPr>
          <w:rFonts w:ascii="Arial" w:cs="Arial" w:eastAsia="Arial" w:hAnsi="Arial"/>
          <w:color w:val="555555"/>
          <w:sz w:val="22"/>
          <w:szCs w:val="22"/>
        </w:rPr>
        <w:t xml:space="preserve">El siguiente diagrama muestra el flujo completo del proyecto, desde la formulación del problema hasta la evaluación de modelos.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0"/>
        <w:gridCol w:w="1560"/>
        <w:gridCol w:w="400"/>
        <w:gridCol w:w="1560"/>
        <w:gridCol w:w="400"/>
        <w:gridCol w:w="1560"/>
        <w:gridCol w:w="400"/>
        <w:gridCol w:w="1080"/>
      </w:tblGrid>
      <w:tr>
        <w:tc>
          <w:tcPr>
            <w:tcW w:type="dxa" w:w="1560"/>
            <w:tcBorders>
              <w:top w:val="single" w:color="1F4E79" w:sz="4"/>
              <w:left w:val="single" w:color="1F4E79" w:sz="4"/>
              <w:bottom w:val="single" w:color="1F4E79" w:sz="4"/>
              <w:right w:val="single" w:color="1F4E79" w:sz="4"/>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PROBLEMA</w:t>
            </w:r>
          </w:p>
        </w:tc>
        <w:tc>
          <w:tcPr>
            <w:tcW w:type="dxa" w:w="400"/>
            <w:tcBorders>
              <w:top w:val="none" w:color="FFFFFF" w:sz="0"/>
              <w:left w:val="none" w:color="FFFFFF" w:sz="0"/>
              <w:bottom w:val="none" w:color="FFFFFF" w:sz="0"/>
              <w:right w:val="none" w:color="FFFFFF" w:sz="0"/>
            </w:tcBorders>
            <w:shd w:fill="F0F4F8" w:val="clear"/>
            <w:tcMar>
              <w:top w:type="dxa" w:w="120"/>
              <w:left w:type="dxa" w:w="60"/>
              <w:bottom w:type="dxa" w:w="120"/>
              <w:right w:type="dxa" w:w="60"/>
            </w:tcMar>
            <w:vAlign w:val="center"/>
          </w:tcPr>
          <w:p>
            <w:pPr>
              <w:jc w:val="center"/>
            </w:pPr>
            <w:r>
              <w:rPr>
                <w:rFonts w:ascii="Arial" w:cs="Arial" w:eastAsia="Arial" w:hAnsi="Arial"/>
                <w:b/>
                <w:bCs/>
                <w:color w:val="2E75B6"/>
                <w:sz w:val="24"/>
                <w:szCs w:val="24"/>
              </w:rPr>
              <w:t xml:space="preserve">→</w:t>
            </w:r>
          </w:p>
        </w:tc>
        <w:tc>
          <w:tcPr>
            <w:tcW w:type="dxa" w:w="1560"/>
            <w:tcBorders>
              <w:top w:val="single" w:color="1F4E79" w:sz="4"/>
              <w:left w:val="single" w:color="1F4E79" w:sz="4"/>
              <w:bottom w:val="single" w:color="1F4E79" w:sz="4"/>
              <w:right w:val="single" w:color="1F4E79" w:sz="4"/>
            </w:tcBorders>
            <w:shd w:fill="1F6AA5"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DATOS</w:t>
            </w:r>
          </w:p>
        </w:tc>
        <w:tc>
          <w:tcPr>
            <w:tcW w:type="dxa" w:w="400"/>
            <w:tcBorders>
              <w:top w:val="none" w:color="FFFFFF" w:sz="0"/>
              <w:left w:val="none" w:color="FFFFFF" w:sz="0"/>
              <w:bottom w:val="none" w:color="FFFFFF" w:sz="0"/>
              <w:right w:val="none" w:color="FFFFFF" w:sz="0"/>
            </w:tcBorders>
            <w:shd w:fill="F0F4F8" w:val="clear"/>
            <w:tcMar>
              <w:top w:type="dxa" w:w="120"/>
              <w:left w:type="dxa" w:w="60"/>
              <w:bottom w:type="dxa" w:w="120"/>
              <w:right w:type="dxa" w:w="60"/>
            </w:tcMar>
            <w:vAlign w:val="center"/>
          </w:tcPr>
          <w:p>
            <w:pPr>
              <w:jc w:val="center"/>
            </w:pPr>
            <w:r>
              <w:rPr>
                <w:rFonts w:ascii="Arial" w:cs="Arial" w:eastAsia="Arial" w:hAnsi="Arial"/>
                <w:b/>
                <w:bCs/>
                <w:color w:val="2E75B6"/>
                <w:sz w:val="24"/>
                <w:szCs w:val="24"/>
              </w:rPr>
              <w:t xml:space="preserve">→</w:t>
            </w:r>
          </w:p>
        </w:tc>
        <w:tc>
          <w:tcPr>
            <w:tcW w:type="dxa" w:w="1560"/>
            <w:tcBorders>
              <w:top w:val="single" w:color="1F4E79" w:sz="4"/>
              <w:left w:val="single" w:color="1F4E79" w:sz="4"/>
              <w:bottom w:val="single" w:color="1F4E79" w:sz="4"/>
              <w:right w:val="single" w:color="1F4E79" w:sz="4"/>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PROCESAMIENTO</w:t>
            </w:r>
          </w:p>
        </w:tc>
        <w:tc>
          <w:tcPr>
            <w:tcW w:type="dxa" w:w="400"/>
            <w:tcBorders>
              <w:top w:val="none" w:color="FFFFFF" w:sz="0"/>
              <w:left w:val="none" w:color="FFFFFF" w:sz="0"/>
              <w:bottom w:val="none" w:color="FFFFFF" w:sz="0"/>
              <w:right w:val="none" w:color="FFFFFF" w:sz="0"/>
            </w:tcBorders>
            <w:shd w:fill="F0F4F8" w:val="clear"/>
            <w:tcMar>
              <w:top w:type="dxa" w:w="120"/>
              <w:left w:type="dxa" w:w="60"/>
              <w:bottom w:type="dxa" w:w="120"/>
              <w:right w:type="dxa" w:w="60"/>
            </w:tcMar>
            <w:vAlign w:val="center"/>
          </w:tcPr>
          <w:p>
            <w:pPr>
              <w:jc w:val="center"/>
            </w:pPr>
            <w:r>
              <w:rPr>
                <w:rFonts w:ascii="Arial" w:cs="Arial" w:eastAsia="Arial" w:hAnsi="Arial"/>
                <w:b/>
                <w:bCs/>
                <w:color w:val="2E75B6"/>
                <w:sz w:val="24"/>
                <w:szCs w:val="24"/>
              </w:rPr>
              <w:t xml:space="preserve">→</w:t>
            </w:r>
          </w:p>
        </w:tc>
        <w:tc>
          <w:tcPr>
            <w:tcW w:type="dxa" w:w="1560"/>
            <w:tcBorders>
              <w:top w:val="single" w:color="1F4E79" w:sz="4"/>
              <w:left w:val="single" w:color="1F4E79" w:sz="4"/>
              <w:bottom w:val="single" w:color="1F4E79" w:sz="4"/>
              <w:right w:val="single" w:color="1F4E79" w:sz="4"/>
            </w:tcBorders>
            <w:shd w:fill="1A527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MODELADO</w:t>
            </w:r>
          </w:p>
        </w:tc>
        <w:tc>
          <w:tcPr>
            <w:tcW w:type="dxa" w:w="400"/>
            <w:tcBorders>
              <w:top w:val="none" w:color="FFFFFF" w:sz="0"/>
              <w:left w:val="none" w:color="FFFFFF" w:sz="0"/>
              <w:bottom w:val="none" w:color="FFFFFF" w:sz="0"/>
              <w:right w:val="none" w:color="FFFFFF" w:sz="0"/>
            </w:tcBorders>
            <w:shd w:fill="F0F4F8" w:val="clear"/>
            <w:tcMar>
              <w:top w:type="dxa" w:w="120"/>
              <w:left w:type="dxa" w:w="60"/>
              <w:bottom w:type="dxa" w:w="120"/>
              <w:right w:type="dxa" w:w="60"/>
            </w:tcMar>
            <w:vAlign w:val="center"/>
          </w:tcPr>
          <w:p>
            <w:pPr>
              <w:jc w:val="center"/>
            </w:pPr>
            <w:r>
              <w:rPr>
                <w:rFonts w:ascii="Arial" w:cs="Arial" w:eastAsia="Arial" w:hAnsi="Arial"/>
                <w:b/>
                <w:bCs/>
                <w:color w:val="2E75B6"/>
                <w:sz w:val="24"/>
                <w:szCs w:val="24"/>
              </w:rPr>
              <w:t xml:space="preserve">→</w:t>
            </w:r>
          </w:p>
        </w:tc>
        <w:tc>
          <w:tcPr>
            <w:tcW w:type="dxa" w:w="1560"/>
            <w:tcBorders>
              <w:top w:val="single" w:color="1F4E79" w:sz="4"/>
              <w:left w:val="single" w:color="1F4E79" w:sz="4"/>
              <w:bottom w:val="single" w:color="1F4E79" w:sz="4"/>
              <w:right w:val="single" w:color="1F4E79" w:sz="4"/>
            </w:tcBorders>
            <w:shd w:fill="0D3349"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EVALUACIÓN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PROBLEMA</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30" w:before="30"/>
            </w:pPr>
            <w:r>
              <w:rPr>
                <w:rFonts w:ascii="Arial" w:cs="Arial" w:eastAsia="Arial" w:hAnsi="Arial"/>
                <w:color w:val="555555"/>
                <w:sz w:val="20"/>
                <w:szCs w:val="20"/>
              </w:rPr>
              <w:t xml:space="preserve">• Hospitalizaciones prolongadas (≥7 días) generan sobrecosto en el sistema GRD chileno</w:t>
            </w:r>
          </w:p>
          <w:p>
            <w:pPr>
              <w:spacing w:after="30" w:before="30"/>
            </w:pPr>
            <w:r>
              <w:rPr>
                <w:rFonts w:ascii="Arial" w:cs="Arial" w:eastAsia="Arial" w:hAnsi="Arial"/>
                <w:color w:val="555555"/>
                <w:sz w:val="20"/>
                <w:szCs w:val="20"/>
              </w:rPr>
              <w:t xml:space="preserve">• Objetivo: predecir qué pacientes tendrán estadía prolongada al momento del egreso</w:t>
            </w:r>
          </w:p>
          <w:p>
            <w:pPr>
              <w:spacing w:after="30" w:before="30"/>
            </w:pPr>
            <w:r>
              <w:rPr>
                <w:rFonts w:ascii="Arial" w:cs="Arial" w:eastAsia="Arial" w:hAnsi="Arial"/>
                <w:color w:val="555555"/>
                <w:sz w:val="20"/>
                <w:szCs w:val="20"/>
              </w:rPr>
              <w:t xml:space="preserve">• 5 preguntas de investigación: factores demográficos, clínicos y su combinación</w:t>
            </w:r>
          </w:p>
        </w:tc>
      </w:tr>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DATOS</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30" w:before="30"/>
            </w:pPr>
            <w:r>
              <w:rPr>
                <w:rFonts w:ascii="Arial" w:cs="Arial" w:eastAsia="Arial" w:hAnsi="Arial"/>
                <w:color w:val="555555"/>
                <w:sz w:val="20"/>
                <w:szCs w:val="20"/>
              </w:rPr>
              <w:t xml:space="preserve">• Fuente: EGRESOS HOSPITALARIOS 2024 — DEIS/MINSAL</w:t>
            </w:r>
          </w:p>
          <w:p>
            <w:pPr>
              <w:spacing w:after="30" w:before="30"/>
            </w:pPr>
            <w:r>
              <w:rPr>
                <w:rFonts w:ascii="Arial" w:cs="Arial" w:eastAsia="Arial" w:hAnsi="Arial"/>
                <w:color w:val="555555"/>
                <w:sz w:val="20"/>
                <w:szCs w:val="20"/>
              </w:rPr>
              <w:t xml:space="preserve">• 1.667.349 registros | 15 variables originales</w:t>
            </w:r>
          </w:p>
          <w:p>
            <w:pPr>
              <w:spacing w:after="30" w:before="30"/>
            </w:pPr>
            <w:r>
              <w:rPr>
                <w:rFonts w:ascii="Arial" w:cs="Arial" w:eastAsia="Arial" w:hAnsi="Arial"/>
                <w:color w:val="555555"/>
                <w:sz w:val="20"/>
                <w:szCs w:val="20"/>
              </w:rPr>
              <w:t xml:space="preserve">• Variables: SEXO, GRUPO_EDAD, REGION_RESIDENCIA, PREVISION, DIAG1, DIAS_ESTADA, CONDICION_EGRESO, PERTENENCIA_SNSS</w:t>
            </w:r>
          </w:p>
          <w:p>
            <w:pPr>
              <w:spacing w:after="30" w:before="30"/>
            </w:pPr>
            <w:r>
              <w:rPr>
                <w:rFonts w:ascii="Arial" w:cs="Arial" w:eastAsia="Arial" w:hAnsi="Arial"/>
                <w:color w:val="555555"/>
                <w:sz w:val="20"/>
                <w:szCs w:val="20"/>
              </w:rPr>
              <w:t xml:space="preserve">• Limitación: sin peso relativo GRD directo → DIAG1 (CIE-10) como proxy</w:t>
            </w:r>
          </w:p>
        </w:tc>
      </w:tr>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PROCESAMIENTO</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30" w:before="30"/>
            </w:pPr>
            <w:r>
              <w:rPr>
                <w:rFonts w:ascii="Arial" w:cs="Arial" w:eastAsia="Arial" w:hAnsi="Arial"/>
                <w:color w:val="555555"/>
                <w:sz w:val="20"/>
                <w:szCs w:val="20"/>
              </w:rPr>
              <w:t xml:space="preserve">• Limpieza: tipos mixtos, valores '*' como categoría 'No identificado'</w:t>
            </w:r>
          </w:p>
          <w:p>
            <w:pPr>
              <w:spacing w:after="30" w:before="30"/>
            </w:pPr>
            <w:r>
              <w:rPr>
                <w:rFonts w:ascii="Arial" w:cs="Arial" w:eastAsia="Arial" w:hAnsi="Arial"/>
                <w:color w:val="555555"/>
                <w:sz w:val="20"/>
                <w:szCs w:val="20"/>
              </w:rPr>
              <w:t xml:space="preserve">• Variable objetivo: estadia_prolongada (DIAS_ESTADA ≥ 7 días, binarizada)</w:t>
            </w:r>
          </w:p>
          <w:p>
            <w:pPr>
              <w:spacing w:after="30" w:before="30"/>
            </w:pPr>
            <w:r>
              <w:rPr>
                <w:rFonts w:ascii="Arial" w:cs="Arial" w:eastAsia="Arial" w:hAnsi="Arial"/>
                <w:color w:val="555555"/>
                <w:sz w:val="20"/>
                <w:szCs w:val="20"/>
              </w:rPr>
              <w:t xml:space="preserve">• Feature engineering: capitulo_cie10 (21 categorías desde 7.162 códigos), edad_ordinal</w:t>
            </w:r>
          </w:p>
          <w:p>
            <w:pPr>
              <w:spacing w:after="30" w:before="30"/>
            </w:pPr>
            <w:r>
              <w:rPr>
                <w:rFonts w:ascii="Arial" w:cs="Arial" w:eastAsia="Arial" w:hAnsi="Arial"/>
                <w:color w:val="555555"/>
                <w:sz w:val="20"/>
                <w:szCs w:val="20"/>
              </w:rPr>
              <w:t xml:space="preserve">• Manejo desbalance: class_weight / SMOTE / umbral ajustado</w:t>
            </w:r>
          </w:p>
          <w:p>
            <w:pPr>
              <w:spacing w:after="30" w:before="30"/>
            </w:pPr>
            <w:r>
              <w:rPr>
                <w:rFonts w:ascii="Arial" w:cs="Arial" w:eastAsia="Arial" w:hAnsi="Arial"/>
                <w:color w:val="555555"/>
                <w:sz w:val="20"/>
                <w:szCs w:val="20"/>
              </w:rPr>
              <w:t xml:space="preserve">• Split: 80/20 estratificado | Validación cruzada k=5</w:t>
            </w:r>
          </w:p>
        </w:tc>
      </w:tr>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MODELADO</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30" w:before="30"/>
            </w:pPr>
            <w:r>
              <w:rPr>
                <w:rFonts w:ascii="Arial" w:cs="Arial" w:eastAsia="Arial" w:hAnsi="Arial"/>
                <w:color w:val="555555"/>
                <w:sz w:val="20"/>
                <w:szCs w:val="20"/>
              </w:rPr>
              <w:t xml:space="preserve">• Regresión Logística (L2): baseline interpretable, coeficientes por variable</w:t>
            </w:r>
          </w:p>
          <w:p>
            <w:pPr>
              <w:spacing w:after="30" w:before="30"/>
            </w:pPr>
            <w:r>
              <w:rPr>
                <w:rFonts w:ascii="Arial" w:cs="Arial" w:eastAsia="Arial" w:hAnsi="Arial"/>
                <w:color w:val="555555"/>
                <w:sz w:val="20"/>
                <w:szCs w:val="20"/>
              </w:rPr>
              <w:t xml:space="preserve">• Árbol de Decisión (CART): reglas explícitas para diagnósticos específicos (PQ4)</w:t>
            </w:r>
          </w:p>
          <w:p>
            <w:pPr>
              <w:spacing w:after="30" w:before="30"/>
            </w:pPr>
            <w:r>
              <w:rPr>
                <w:rFonts w:ascii="Arial" w:cs="Arial" w:eastAsia="Arial" w:hAnsi="Arial"/>
                <w:color w:val="555555"/>
                <w:sz w:val="20"/>
                <w:szCs w:val="20"/>
              </w:rPr>
              <w:t xml:space="preserve">• Random Forest: interacciones no lineales, importancia de variables por grupo</w:t>
            </w:r>
          </w:p>
          <w:p>
            <w:pPr>
              <w:spacing w:after="30" w:before="30"/>
            </w:pPr>
            <w:r>
              <w:rPr>
                <w:rFonts w:ascii="Arial" w:cs="Arial" w:eastAsia="Arial" w:hAnsi="Arial"/>
                <w:color w:val="555555"/>
                <w:sz w:val="20"/>
                <w:szCs w:val="20"/>
              </w:rPr>
              <w:t xml:space="preserve">• XGBoost: competidor de alto desempeño en datos tabulares con desbalance</w:t>
            </w:r>
          </w:p>
          <w:p>
            <w:pPr>
              <w:spacing w:after="30" w:before="30"/>
            </w:pPr>
            <w:r>
              <w:rPr>
                <w:rFonts w:ascii="Arial" w:cs="Arial" w:eastAsia="Arial" w:hAnsi="Arial"/>
                <w:color w:val="555555"/>
                <w:sz w:val="20"/>
                <w:szCs w:val="20"/>
              </w:rPr>
              <w:t xml:space="preserve">• Estrategia: 3 versiones por modelo (demográfico / clínico / combinado) → responde PQ5</w:t>
            </w:r>
          </w:p>
        </w:tc>
      </w:tr>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EVALUACIÓN</w:t>
            </w:r>
          </w:p>
        </w:tc>
        <w:tc>
          <w:tcPr>
            <w:tcW w:type="dxa" w:w="75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after="30" w:before="30"/>
            </w:pPr>
            <w:r>
              <w:rPr>
                <w:rFonts w:ascii="Arial" w:cs="Arial" w:eastAsia="Arial" w:hAnsi="Arial"/>
                <w:color w:val="555555"/>
                <w:sz w:val="20"/>
                <w:szCs w:val="20"/>
              </w:rPr>
              <w:t xml:space="preserve">• Métrica principal: AUC-ROC (curvas comparativas por grupo de variables)</w:t>
            </w:r>
          </w:p>
          <w:p>
            <w:pPr>
              <w:spacing w:after="30" w:before="30"/>
            </w:pPr>
            <w:r>
              <w:rPr>
                <w:rFonts w:ascii="Arial" w:cs="Arial" w:eastAsia="Arial" w:hAnsi="Arial"/>
                <w:color w:val="555555"/>
                <w:sz w:val="20"/>
                <w:szCs w:val="20"/>
              </w:rPr>
              <w:t xml:space="preserve">• Métrica secundaria: F1-Score clase positiva (por desbalance 3.4:1)</w:t>
            </w:r>
          </w:p>
          <w:p>
            <w:pPr>
              <w:spacing w:after="30" w:before="30"/>
            </w:pPr>
            <w:r>
              <w:rPr>
                <w:rFonts w:ascii="Arial" w:cs="Arial" w:eastAsia="Arial" w:hAnsi="Arial"/>
                <w:color w:val="555555"/>
                <w:sz w:val="20"/>
                <w:szCs w:val="20"/>
              </w:rPr>
              <w:t xml:space="preserve">• Análisis de importancia: SHAP values (Random Forest/XGBoost) / coeficientes (LR)</w:t>
            </w:r>
          </w:p>
          <w:p>
            <w:pPr>
              <w:spacing w:after="30" w:before="30"/>
            </w:pPr>
            <w:r>
              <w:rPr>
                <w:rFonts w:ascii="Arial" w:cs="Arial" w:eastAsia="Arial" w:hAnsi="Arial"/>
                <w:color w:val="555555"/>
                <w:sz w:val="20"/>
                <w:szCs w:val="20"/>
              </w:rPr>
              <w:t xml:space="preserve">• Diagnósticos relevantes: PQ4 → árbol de decisión con DIAG1 como variable</w:t>
            </w:r>
          </w:p>
          <w:p>
            <w:pPr>
              <w:spacing w:after="30" w:before="30"/>
            </w:pPr>
            <w:r>
              <w:rPr>
                <w:rFonts w:ascii="Arial" w:cs="Arial" w:eastAsia="Arial" w:hAnsi="Arial"/>
                <w:color w:val="555555"/>
                <w:sz w:val="20"/>
                <w:szCs w:val="20"/>
              </w:rPr>
              <w:t xml:space="preserve">• Comparación PQ5: AUC demográfico vs. clínico vs. combinado</w:t>
            </w:r>
          </w:p>
        </w:tc>
      </w:tr>
    </w:tbl>
    <w:p>
      <w:r>
        <w:t xml:space="preserve"/>
      </w:r>
    </w:p>
    <w:p>
      <w:r>
        <w:t xml:space="preserve"/>
      </w:r>
    </w:p>
    <w:p>
      <w:pPr>
        <w:pBdr>
          <w:left w:val="single" w:color="2E75B6" w:sz="8" w:space="8"/>
        </w:pBdr>
        <w:spacing w:after="60" w:before="120"/>
        <w:ind w:left="360"/>
      </w:pPr>
      <w:r>
        <w:rPr>
          <w:rFonts w:ascii="Arial" w:cs="Arial" w:eastAsia="Arial" w:hAnsi="Arial"/>
          <w:b/>
          <w:bCs/>
          <w:color w:val="2E75B6"/>
          <w:sz w:val="20"/>
          <w:szCs w:val="20"/>
        </w:rPr>
        <w:t xml:space="preserve">Nota sobre PQ3 (Peso GRD): </w:t>
      </w:r>
      <w:r>
        <w:rPr>
          <w:rFonts w:ascii="Arial" w:cs="Arial" w:eastAsia="Arial" w:hAnsi="Arial"/>
          <w:i/>
          <w:iCs/>
          <w:color w:val="555555"/>
          <w:sz w:val="20"/>
          <w:szCs w:val="20"/>
        </w:rPr>
        <w:t xml:space="preserve">El dataset EGRESOS 2024 no incluye el peso relativo GRD directamente. El sistema GRD clasifica hospitalizaciones principalmente por diagnóstico principal (CIE-10), procedimiento y severidad. En ausencia de la columna de peso GRD, esta investigación aproxima la complejidad clínica mediante DIAG1 y su agrupación en capítulos CIE-10. Esta limitación se reconoce explícitamente y constituye una oportunidad de mejora para versiones futuras que vinculen los datos DEIS con los informes GRD anuales del MINSAL.</w:t>
      </w:r>
    </w:p>
    <w:sectPr>
      <w:headerReference w:type="default" r:id="rId7"/>
      <w:footerReference w:type="default" r:id="rId8"/>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60"/>
    </w:pPr>
    <w:r>
      <w:rPr>
        <w:rFonts w:ascii="Arial" w:cs="Arial" w:eastAsia="Arial" w:hAnsi="Arial"/>
        <w:color w:val="555555"/>
        <w:sz w:val="16"/>
        <w:szCs w:val="16"/>
      </w:rPr>
      <w:t xml:space="preserve">Dataset: EGRESOS HOSPITALARIOS 2024 — DEIS/MINSAL</w:t>
    </w:r>
    <w:r>
      <w:rPr>
        <w:rFonts w:ascii="Arial" w:cs="Arial" w:eastAsia="Arial" w:hAnsi="Arial"/>
        <w:color w:val="555555"/>
        <w:sz w:val="16"/>
        <w:szCs w:val="16"/>
      </w:rPr>
      <w:t xml:space="preserve">	DEIS/MINSAL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60"/>
    </w:pPr>
    <w:r>
      <w:rPr>
        <w:rFonts w:ascii="Arial" w:cs="Arial" w:eastAsia="Arial" w:hAnsi="Arial"/>
        <w:color w:val="2E75B6"/>
        <w:sz w:val="18"/>
        <w:szCs w:val="18"/>
      </w:rPr>
      <w:t xml:space="preserve">Avance 1 — Hospitalizaciones Prolongadas en Chile   |   Análisis de Datos e Inferencia Estadística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bullet"/>
      <w:lvlText w:val="–"/>
      <w:lvlJc w:val="left"/>
      <w:pPr>
        <w:spacing w:after="20" w:before="2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2026-04-09T02:42:52.522Z</dcterms:created>
  <dcterms:modified xsi:type="dcterms:W3CDTF">2026-04-09T02:42:52.523Z</dcterms:modified>
</cp:coreProperties>
</file>

<file path=docProps/custom.xml><?xml version="1.0" encoding="utf-8"?>
<Properties xmlns="http://schemas.openxmlformats.org/officeDocument/2006/custom-properties" xmlns:vt="http://schemas.openxmlformats.org/officeDocument/2006/docPropsVTypes"/>
</file>