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DF0" w:rsidRDefault="00560DF0" w:rsidP="00560DF0">
      <w:pPr>
        <w:jc w:val="center"/>
        <w:rPr>
          <w:b/>
          <w:u w:val="single"/>
        </w:rPr>
      </w:pPr>
      <w:r w:rsidRPr="00560DF0">
        <w:rPr>
          <w:b/>
          <w:u w:val="single"/>
        </w:rPr>
        <w:t>Projet Kalizeau</w:t>
      </w:r>
    </w:p>
    <w:p w:rsidR="00560DF0" w:rsidRDefault="00560DF0" w:rsidP="00560DF0">
      <w:pPr>
        <w:pStyle w:val="Titre1"/>
      </w:pPr>
      <w:r>
        <w:t>1 Choix des options :</w:t>
      </w:r>
    </w:p>
    <w:p w:rsidR="00C048A2" w:rsidRPr="00C048A2" w:rsidRDefault="00C048A2" w:rsidP="00C048A2">
      <w:r>
        <w:t>Nous décidons les points suivant pour la préparation du calendrier de notre projet :</w:t>
      </w:r>
    </w:p>
    <w:p w:rsidR="00560DF0" w:rsidRDefault="00C048A2" w:rsidP="00560DF0">
      <w:pPr>
        <w:pStyle w:val="Paragraphedeliste"/>
        <w:numPr>
          <w:ilvl w:val="0"/>
          <w:numId w:val="1"/>
        </w:numPr>
      </w:pPr>
      <w:r>
        <w:t xml:space="preserve">Pour faciliter le suivi de l’avancement toutes les </w:t>
      </w:r>
      <w:r w:rsidR="00560DF0">
        <w:t>½ journées</w:t>
      </w:r>
      <w:r>
        <w:t xml:space="preserve"> sont identiques</w:t>
      </w:r>
      <w:r w:rsidR="00560DF0">
        <w:t>.</w:t>
      </w:r>
    </w:p>
    <w:p w:rsidR="00560DF0" w:rsidRDefault="00C048A2" w:rsidP="00560DF0">
      <w:pPr>
        <w:pStyle w:val="Paragraphedeliste"/>
        <w:numPr>
          <w:ilvl w:val="0"/>
          <w:numId w:val="1"/>
        </w:numPr>
      </w:pPr>
      <w:r>
        <w:t>Exception le 14  juillet est chômé (Fête Nationale</w:t>
      </w:r>
      <w:r w:rsidR="00560DF0">
        <w:t>)</w:t>
      </w:r>
    </w:p>
    <w:p w:rsidR="00C048A2" w:rsidRDefault="00C048A2" w:rsidP="00560DF0">
      <w:pPr>
        <w:pStyle w:val="Paragraphedeliste"/>
        <w:numPr>
          <w:ilvl w:val="0"/>
          <w:numId w:val="1"/>
        </w:numPr>
      </w:pPr>
      <w:r>
        <w:t xml:space="preserve">Nous envisageons de </w:t>
      </w:r>
      <w:r w:rsidR="00197DD0">
        <w:t>démarrer le projet le 19</w:t>
      </w:r>
      <w:bookmarkStart w:id="0" w:name="_GoBack"/>
      <w:bookmarkEnd w:id="0"/>
      <w:r w:rsidR="00197DD0">
        <w:t xml:space="preserve"> juin 17</w:t>
      </w:r>
      <w:r>
        <w:t>.</w:t>
      </w:r>
    </w:p>
    <w:p w:rsidR="00C048A2" w:rsidRPr="00C048A2" w:rsidRDefault="00C048A2" w:rsidP="00C048A2">
      <w:pPr>
        <w:rPr>
          <w:b/>
        </w:rPr>
      </w:pPr>
      <w:r w:rsidRPr="00C048A2">
        <w:rPr>
          <w:b/>
        </w:rPr>
        <w:t>Préparer le calendrier de ce projet.</w:t>
      </w:r>
    </w:p>
    <w:p w:rsidR="00560DF0" w:rsidRDefault="00560DF0" w:rsidP="00560DF0">
      <w:pPr>
        <w:pStyle w:val="Titre1"/>
      </w:pPr>
      <w:r>
        <w:t>2 Organigramme des tâches</w:t>
      </w:r>
    </w:p>
    <w:p w:rsidR="0081054F" w:rsidRDefault="0081054F" w:rsidP="0081054F"/>
    <w:p w:rsidR="0081054F" w:rsidRDefault="0081054F" w:rsidP="0081054F">
      <w:r w:rsidRPr="0081054F">
        <w:rPr>
          <w:noProof/>
          <w:lang w:eastAsia="fr-FR"/>
        </w:rPr>
        <w:drawing>
          <wp:inline distT="0" distB="0" distL="0" distR="0">
            <wp:extent cx="4114800" cy="2809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809875"/>
                    </a:xfrm>
                    <a:prstGeom prst="rect">
                      <a:avLst/>
                    </a:prstGeom>
                    <a:noFill/>
                    <a:ln>
                      <a:noFill/>
                    </a:ln>
                  </pic:spPr>
                </pic:pic>
              </a:graphicData>
            </a:graphic>
          </wp:inline>
        </w:drawing>
      </w:r>
    </w:p>
    <w:p w:rsidR="00C048A2" w:rsidRPr="00C048A2" w:rsidRDefault="00C048A2" w:rsidP="0081054F">
      <w:pPr>
        <w:rPr>
          <w:b/>
        </w:rPr>
      </w:pPr>
      <w:r w:rsidRPr="00C048A2">
        <w:rPr>
          <w:b/>
        </w:rPr>
        <w:t>Etablir l’organigramme des tâche</w:t>
      </w:r>
      <w:r>
        <w:rPr>
          <w:b/>
        </w:rPr>
        <w:t>s</w:t>
      </w:r>
      <w:r w:rsidRPr="00C048A2">
        <w:rPr>
          <w:b/>
        </w:rPr>
        <w:t xml:space="preserve"> avec MS Project.</w:t>
      </w:r>
    </w:p>
    <w:p w:rsidR="0081054F" w:rsidRDefault="0081054F" w:rsidP="0081054F">
      <w:pPr>
        <w:pStyle w:val="Titre1"/>
      </w:pPr>
      <w:r>
        <w:t>3 Saisie et affectation des ressources</w:t>
      </w:r>
    </w:p>
    <w:p w:rsidR="0081054F" w:rsidRDefault="0081054F" w:rsidP="0081054F">
      <w:r>
        <w:t xml:space="preserve">La présentation de l’organigramme des tâches devant le Comité de Direction a permis d’obtenir l’affectation de deux personnes pour le projet et l’intervention d’un consultant extérieur spécialiste des systèmes de suivi de la qualité environnementale sur la tâche Etude Fonctionnelle, qui apportera une aide au concepteur interne. Cependant, l’affectation de deux personnes sur la même tâche augmente un peu la charge à cause du temps de temps de coordination. On considère que la durée de la tâche </w:t>
      </w:r>
      <w:r w:rsidRPr="0081054F">
        <w:rPr>
          <w:b/>
        </w:rPr>
        <w:t>Etude Fonctionnelle</w:t>
      </w:r>
      <w:r>
        <w:t xml:space="preserve"> passe de 20 à 24 jours. </w:t>
      </w:r>
    </w:p>
    <w:p w:rsidR="00C048A2" w:rsidRPr="0081054F" w:rsidRDefault="00C048A2" w:rsidP="0081054F">
      <w:r>
        <w:t>Nous disposons donc de 4 ressources Angela, Chef de projet</w:t>
      </w:r>
      <w:r w:rsidR="00997D3F">
        <w:t xml:space="preserve"> (250€/h)</w:t>
      </w:r>
      <w:r>
        <w:t> ; Nicolas et Eva, concepteurs internes</w:t>
      </w:r>
      <w:r w:rsidR="00997D3F">
        <w:t xml:space="preserve"> (</w:t>
      </w:r>
      <w:r w:rsidR="00F36F70">
        <w:t xml:space="preserve">respectivement </w:t>
      </w:r>
      <w:r w:rsidR="00997D3F">
        <w:t>80€/h</w:t>
      </w:r>
      <w:r w:rsidR="00F36F70">
        <w:t xml:space="preserve"> et 90 €/h</w:t>
      </w:r>
      <w:r w:rsidR="00997D3F">
        <w:t>)</w:t>
      </w:r>
      <w:r>
        <w:t> ; Barack, consultant extérieurs</w:t>
      </w:r>
      <w:r w:rsidR="00997D3F">
        <w:t xml:space="preserve"> (200€/h)</w:t>
      </w:r>
      <w:r>
        <w:t>.</w:t>
      </w:r>
      <w:r w:rsidR="00997D3F">
        <w:t xml:space="preserve"> (4 ressources à 100%)</w:t>
      </w:r>
    </w:p>
    <w:p w:rsidR="00560DF0" w:rsidRPr="00560DF0" w:rsidRDefault="00560DF0" w:rsidP="00560DF0"/>
    <w:p w:rsidR="00560DF0" w:rsidRPr="00560DF0" w:rsidRDefault="00560DF0">
      <w:pPr>
        <w:pStyle w:val="Titre1"/>
      </w:pPr>
    </w:p>
    <w:sectPr w:rsidR="00560DF0" w:rsidRPr="00560D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C24D3"/>
    <w:multiLevelType w:val="hybridMultilevel"/>
    <w:tmpl w:val="8ED883AC"/>
    <w:lvl w:ilvl="0" w:tplc="A1744A0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DF0"/>
    <w:rsid w:val="00197DD0"/>
    <w:rsid w:val="00372262"/>
    <w:rsid w:val="00560DF0"/>
    <w:rsid w:val="0081054F"/>
    <w:rsid w:val="00997D3F"/>
    <w:rsid w:val="00BF2D67"/>
    <w:rsid w:val="00C048A2"/>
    <w:rsid w:val="00E73790"/>
    <w:rsid w:val="00F36F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8A0A"/>
  <w15:chartTrackingRefBased/>
  <w15:docId w15:val="{DDD808A1-6774-4AC6-BBDC-227A8D88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0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0DF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60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1027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cp:keywords/>
  <dc:description/>
  <cp:lastModifiedBy>ptissot</cp:lastModifiedBy>
  <cp:revision>2</cp:revision>
  <dcterms:created xsi:type="dcterms:W3CDTF">2016-12-14T15:10:00Z</dcterms:created>
  <dcterms:modified xsi:type="dcterms:W3CDTF">2016-12-14T15:10:00Z</dcterms:modified>
</cp:coreProperties>
</file>