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materials for responsible AI adoption and appropriation</w:t>
      </w:r>
    </w:p>
    <w:p>
      <w:r>
        <w:t>Submission 3289</w:t>
      </w:r>
    </w:p>
    <w:p>
      <w:r>
        <w:t>Responsible AI Adoption and Appropriation in Organizations: A Review and Research Framework</w:t>
      </w:r>
    </w:p>
    <w:p>
      <w:r>
        <w:t>These materials provide the search strategy, study register, principle-level extraction records, and coding definitions supporting the review. The accompanying CSV files preserve all 65 author-designated extraction rows and support study-level traceability.</w:t>
      </w:r>
    </w:p>
    <w:p>
      <w:pPr>
        <w:pStyle w:val="Heading1"/>
      </w:pPr>
      <w:r>
        <w:t>Appendix A Scopus search strategy</w:t>
      </w:r>
    </w:p>
    <w:p>
      <w:r>
        <w:t>The query below reproduces the author-supplied Scopus strategy. The manuscript reports searches in early July 2026. An exact execution date and the other database-specific strategies are not included. The query was not rerun in preparing this supplement.</w:t>
      </w:r>
    </w:p>
    <w:p>
      <w:pPr>
        <w:spacing w:after="0" w:line="240" w:lineRule="auto"/>
      </w:pPr>
      <w:r>
        <w:rPr>
          <w:rFonts w:ascii="Courier New" w:hAnsi="Courier New"/>
          <w:sz w:val="16"/>
        </w:rPr>
        <w:t>TITLE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"artificial intelligence" OR "generative AI" OR GenAI OR</w:t>
      </w:r>
    </w:p>
    <w:p>
      <w:pPr>
        <w:spacing w:after="0" w:line="240" w:lineRule="auto"/>
      </w:pPr>
      <w:r>
        <w:rPr>
          <w:rFonts w:ascii="Courier New" w:hAnsi="Courier New"/>
          <w:sz w:val="16"/>
        </w:rPr>
        <w:t xml:space="preserve">    "large language model*" OR LLM* OR ChatGPT OR "conversational AI"</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AND</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adopt* OR adoption OR appropriat* OR appropriation OR</w:t>
      </w:r>
    </w:p>
    <w:p>
      <w:pPr>
        <w:spacing w:after="0" w:line="240" w:lineRule="auto"/>
      </w:pPr>
      <w:r>
        <w:rPr>
          <w:rFonts w:ascii="Courier New" w:hAnsi="Courier New"/>
          <w:sz w:val="16"/>
        </w:rPr>
        <w:t xml:space="preserve">    implement* OR implementation OR readiness OR govern* OR governance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pPr>
        <w:spacing w:after="0" w:line="240" w:lineRule="auto"/>
      </w:pPr>
      <w:r>
        <w:rPr>
          <w:rFonts w:ascii="Courier New" w:hAnsi="Courier New"/>
          <w:sz w:val="16"/>
        </w:rPr>
        <w:t>AND TITLE-ABS-KEY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responsib* OR ethic* OR govern* OR governance OR accountab* OR trustworth* OR</w:t>
      </w:r>
    </w:p>
    <w:p>
      <w:pPr>
        <w:spacing w:after="0" w:line="240" w:lineRule="auto"/>
      </w:pPr>
      <w:r>
        <w:rPr>
          <w:rFonts w:ascii="Courier New" w:hAnsi="Courier New"/>
          <w:sz w:val="16"/>
        </w:rPr>
        <w:t xml:space="preserve">    "human oversight" OR "risk management" OR "risk assessment" OR</w:t>
      </w:r>
    </w:p>
    <w:p>
      <w:pPr>
        <w:spacing w:after="0" w:line="240" w:lineRule="auto"/>
      </w:pPr>
      <w:r>
        <w:rPr>
          <w:rFonts w:ascii="Courier New" w:hAnsi="Courier New"/>
          <w:sz w:val="16"/>
        </w:rPr>
        <w:t xml:space="preserve">    "AI governance" OR "algorithmic accountability" OR transparen* OR explainab*</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W/7</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adopt* OR adoption OR appropriat* OR appropriation OR</w:t>
      </w:r>
    </w:p>
    <w:p>
      <w:pPr>
        <w:spacing w:after="0" w:line="240" w:lineRule="auto"/>
      </w:pPr>
      <w:r>
        <w:rPr>
          <w:rFonts w:ascii="Courier New" w:hAnsi="Courier New"/>
          <w:sz w:val="16"/>
        </w:rPr>
        <w:t xml:space="preserve">    implement* OR implementation OR use OR usage OR readiness OR governance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pPr>
        <w:spacing w:after="0" w:line="240" w:lineRule="auto"/>
      </w:pPr>
      <w:r>
        <w:rPr>
          <w:rFonts w:ascii="Courier New" w:hAnsi="Courier New"/>
          <w:sz w:val="16"/>
        </w:rPr>
        <w:t>AND TITLE-ABS-KEY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organisation* OR organization* OR firm* OR enterprise* OR compan* OR</w:t>
      </w:r>
    </w:p>
    <w:p>
      <w:pPr>
        <w:spacing w:after="0" w:line="240" w:lineRule="auto"/>
      </w:pPr>
      <w:r>
        <w:rPr>
          <w:rFonts w:ascii="Courier New" w:hAnsi="Courier New"/>
          <w:sz w:val="16"/>
        </w:rPr>
        <w:t xml:space="preserve">    workplace* OR SME* OR manager* OR employee* OR "business process*"</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pPr>
        <w:spacing w:after="0" w:line="240" w:lineRule="auto"/>
      </w:pPr>
      <w:r>
        <w:rPr>
          <w:rFonts w:ascii="Courier New" w:hAnsi="Courier New"/>
          <w:sz w:val="16"/>
        </w:rPr>
        <w:t>AND TITLE-ABS-KEY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"AI readiness" OR "organisational readiness" OR "organizational readiness" OR</w:t>
      </w:r>
    </w:p>
    <w:p>
      <w:pPr>
        <w:spacing w:after="0" w:line="240" w:lineRule="auto"/>
      </w:pPr>
      <w:r>
        <w:rPr>
          <w:rFonts w:ascii="Courier New" w:hAnsi="Courier New"/>
          <w:sz w:val="16"/>
        </w:rPr>
        <w:t xml:space="preserve">    "data readiness" OR "AI literacy" OR "AI skill*" OR</w:t>
      </w:r>
    </w:p>
    <w:p>
      <w:pPr>
        <w:spacing w:after="0" w:line="240" w:lineRule="auto"/>
      </w:pPr>
      <w:r>
        <w:rPr>
          <w:rFonts w:ascii="Courier New" w:hAnsi="Courier New"/>
          <w:sz w:val="16"/>
        </w:rPr>
        <w:t xml:space="preserve">    "top management support" OR "management support" OR</w:t>
      </w:r>
    </w:p>
    <w:p>
      <w:pPr>
        <w:spacing w:after="0" w:line="240" w:lineRule="auto"/>
      </w:pPr>
      <w:r>
        <w:rPr>
          <w:rFonts w:ascii="Courier New" w:hAnsi="Courier New"/>
          <w:sz w:val="16"/>
        </w:rPr>
        <w:t xml:space="preserve">    "AI capabilit*" OR "dynamic capabilit*" OR</w:t>
      </w:r>
    </w:p>
    <w:p>
      <w:pPr>
        <w:spacing w:after="0" w:line="240" w:lineRule="auto"/>
      </w:pPr>
      <w:r>
        <w:rPr>
          <w:rFonts w:ascii="Courier New" w:hAnsi="Courier New"/>
          <w:sz w:val="16"/>
        </w:rPr>
        <w:t xml:space="preserve">    "sensemaking" OR "AI-in-use" OR "technology-in-use" OR</w:t>
      </w:r>
    </w:p>
    <w:p>
      <w:pPr>
        <w:spacing w:after="0" w:line="240" w:lineRule="auto"/>
      </w:pPr>
      <w:r>
        <w:rPr>
          <w:rFonts w:ascii="Courier New" w:hAnsi="Courier New"/>
          <w:sz w:val="16"/>
        </w:rPr>
        <w:t xml:space="preserve">    routinisation OR routinization OR workaround* OR resistance OR</w:t>
      </w:r>
    </w:p>
    <w:p>
      <w:pPr>
        <w:spacing w:after="0" w:line="240" w:lineRule="auto"/>
      </w:pPr>
      <w:r>
        <w:rPr>
          <w:rFonts w:ascii="Courier New" w:hAnsi="Courier New"/>
          <w:sz w:val="16"/>
        </w:rPr>
        <w:t xml:space="preserve">    "human judgement" OR "human judgment" OR "output verification" OR</w:t>
      </w:r>
    </w:p>
    <w:p>
      <w:pPr>
        <w:spacing w:after="0" w:line="240" w:lineRule="auto"/>
      </w:pPr>
      <w:r>
        <w:rPr>
          <w:rFonts w:ascii="Courier New" w:hAnsi="Courier New"/>
          <w:sz w:val="16"/>
        </w:rPr>
        <w:t xml:space="preserve">    stakeholder* OR "value creation" OR "value co-creation" OR</w:t>
      </w:r>
    </w:p>
    <w:p>
      <w:pPr>
        <w:spacing w:after="0" w:line="240" w:lineRule="auto"/>
      </w:pPr>
      <w:r>
        <w:rPr>
          <w:rFonts w:ascii="Courier New" w:hAnsi="Courier New"/>
          <w:sz w:val="16"/>
        </w:rPr>
        <w:t xml:space="preserve">    "value destruction" OR "stakeholder risk*" OR "resource integration"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pPr>
        <w:spacing w:after="0" w:line="240" w:lineRule="auto"/>
      </w:pPr>
      <w:r>
        <w:rPr>
          <w:rFonts w:ascii="Courier New" w:hAnsi="Courier New"/>
          <w:sz w:val="16"/>
        </w:rPr>
        <w:t>AND PUBYEAR &gt; 2015</w:t>
      </w:r>
    </w:p>
    <w:p>
      <w:pPr>
        <w:spacing w:after="0" w:line="240" w:lineRule="auto"/>
      </w:pPr>
      <w:r>
        <w:rPr>
          <w:rFonts w:ascii="Courier New" w:hAnsi="Courier New"/>
          <w:sz w:val="16"/>
        </w:rPr>
        <w:t>AND (</w:t>
      </w:r>
    </w:p>
    <w:p>
      <w:pPr>
        <w:spacing w:after="0" w:line="240" w:lineRule="auto"/>
      </w:pPr>
      <w:r>
        <w:rPr>
          <w:rFonts w:ascii="Courier New" w:hAnsi="Courier New"/>
          <w:sz w:val="16"/>
        </w:rPr>
        <w:t xml:space="preserve">  LIMIT-TO ( DOCTYPE, "ar" ) OR</w:t>
      </w:r>
    </w:p>
    <w:p>
      <w:pPr>
        <w:spacing w:after="0" w:line="240" w:lineRule="auto"/>
      </w:pPr>
      <w:r>
        <w:rPr>
          <w:rFonts w:ascii="Courier New" w:hAnsi="Courier New"/>
          <w:sz w:val="16"/>
        </w:rPr>
        <w:t xml:space="preserve">  LIMIT-TO ( DOCTYPE, "re" )</w:t>
      </w:r>
    </w:p>
    <w:p>
      <w:pPr>
        <w:spacing w:after="0" w:line="240" w:lineRule="auto"/>
      </w:pPr>
      <w:r>
        <w:rPr>
          <w:rFonts w:ascii="Courier New" w:hAnsi="Courier New"/>
          <w:sz w:val="16"/>
        </w:rPr>
        <w:t>)</w:t>
      </w:r>
    </w:p>
    <w:p>
      <w:pPr>
        <w:spacing w:after="0" w:line="240" w:lineRule="auto"/>
      </w:pPr>
      <w:r>
        <w:rPr>
          <w:rFonts w:ascii="Courier New" w:hAnsi="Courier New"/>
          <w:sz w:val="16"/>
        </w:rPr>
        <w:t>AND LIMIT-TO ( LANGUAGE, "English" )</w:t>
      </w:r>
    </w:p>
    <w:p>
      <w:pPr>
        <w:pStyle w:val="Heading1"/>
      </w:pPr>
      <w:r>
        <w:t>Appendix B Study register</w:t>
      </w:r>
    </w:p>
    <w:p>
      <w:r>
        <w:t>Appendix_B_Study_Register.csv identifies P1–P65 and records metadata provenance. P12 corresponds to Yu, Xu and Ashton, Information Technology &amp; People 36(1), 454–474 (2023), DOI 10.1108/ITP-04-2021-0254. P37 corresponds to Bani Ahmad, International Journal of Data and Network Science 8(1), 401–414 (2024), DOI 10.5267/j.ijdns.2023.9.014. Its corrected title comes from the fulltext (2) extraction sheet.</w:t>
      </w:r>
    </w:p>
    <w:p>
      <w:r>
        <w:t>Register publication counts are 2022: 3; 2023: 4; 2024: 9; 2025: 14; 2026: 35 (53.8%). These counts are consistent with the manuscript. P18 is matched to the service-industry paper rather than a similarly titled banking-industry paper.</w:t>
      </w:r>
    </w:p>
    <w:p>
      <w:pPr>
        <w:pStyle w:val="Heading1"/>
      </w:pPr>
      <w:r>
        <w:t>Appendix C Study by principle extraction coverage</w:t>
      </w:r>
    </w:p>
    <w:p>
      <w:r>
        <w:t>Appendix_C_Extraction_Coverage_Matrix.csv contains 65 rows and 15 principle columns. E indicates a recorded extraction note; U indicates that no note was supplied. U does not establish absence of coverage. E does not distinguish direct from indirect support or empirical findings from theoretical discussion.</w:t>
      </w:r>
    </w:p>
    <w:p>
      <w:r>
        <w:t>AI Adoption Decision is retained in Original_Extraction.csv rather than included among the 15 principles. AI Use Case Identification is harmonized to AI Use Case; Stakeholder Value &amp; Organisational Performance is mapped to Value Creation. Original source headings remain traceable in Appendix D.</w:t>
      </w:r>
    </w:p>
    <w:p>
      <w:pPr>
        <w:pStyle w:val="Heading1"/>
      </w:pPr>
      <w:r>
        <w:t>Appendix D Supporting extraction records</w:t>
      </w:r>
    </w:p>
    <w:p>
      <w:r>
        <w:t>Appendix_D_Extraction_Records.csv provides all 975 study–principle records, supplied notes, original columns, and page references where available. Risk_Outcomes_Classification.csv identifies adverse-consequence notes reclassified from existing columns during revision. These include discussed, perceived, proposed and reported risks; they must not all be described as observed adverse effects.</w:t>
      </w:r>
    </w:p>
    <w:p>
      <w:r>
        <w:t>The supplied notes and page numbers were not independently checked against full texts in preparing this supplement. In particular, P37 references pages 998–1043, whereas its journal pagination is 401–414. No replacement page numbers have been inferred. D/I/N coding and the manuscript evidence markers require full-text verification.</w:t>
      </w:r>
    </w:p>
    <w:p>
      <w:pPr>
        <w:pStyle w:val="Heading1"/>
      </w:pPr>
      <w:r>
        <w:t>Appendix E Operational definitions</w:t>
      </w:r>
    </w:p>
    <w:p>
      <w:r>
        <w:rPr>
          <w:b/>
        </w:rPr>
        <w:t xml:space="preserve">AI Characteristics: </w:t>
      </w:r>
      <w:r>
        <w:t>Properties, functionality and constraints of AI systems.</w:t>
      </w:r>
    </w:p>
    <w:p>
      <w:r>
        <w:rPr>
          <w:b/>
        </w:rPr>
        <w:t xml:space="preserve">Task Fit: </w:t>
      </w:r>
      <w:r>
        <w:t>Alignment of AI functionality with task requirements.</w:t>
      </w:r>
    </w:p>
    <w:p>
      <w:r>
        <w:rPr>
          <w:b/>
        </w:rPr>
        <w:t xml:space="preserve">Data Readiness: </w:t>
      </w:r>
      <w:r>
        <w:t>Availability, quality, accessibility and governance of data.</w:t>
      </w:r>
    </w:p>
    <w:p>
      <w:r>
        <w:rPr>
          <w:b/>
        </w:rPr>
        <w:t xml:space="preserve">Organizational Readiness: </w:t>
      </w:r>
      <w:r>
        <w:t>Organizational resources, infrastructure and support for AI.</w:t>
      </w:r>
    </w:p>
    <w:p>
      <w:r>
        <w:rPr>
          <w:b/>
        </w:rPr>
        <w:t xml:space="preserve">AI Literacy: </w:t>
      </w:r>
      <w:r>
        <w:t>Knowledge and skills to understand and use AI.</w:t>
      </w:r>
    </w:p>
    <w:p>
      <w:r>
        <w:rPr>
          <w:b/>
        </w:rPr>
        <w:t xml:space="preserve">Capability Development: </w:t>
      </w:r>
      <w:r>
        <w:t>Development or reconfiguration of organizational capabilities.</w:t>
      </w:r>
    </w:p>
    <w:p>
      <w:r>
        <w:rPr>
          <w:b/>
        </w:rPr>
        <w:t xml:space="preserve">Sensemaking: </w:t>
      </w:r>
      <w:r>
        <w:t>Interpretation and meaning-making concerning AI in work.</w:t>
      </w:r>
    </w:p>
    <w:p>
      <w:r>
        <w:rPr>
          <w:b/>
        </w:rPr>
        <w:t xml:space="preserve">Adaptation/Resistance: </w:t>
      </w:r>
      <w:r>
        <w:t>Adjustment, contestation or resistance associated with AI use.</w:t>
      </w:r>
    </w:p>
    <w:p>
      <w:r>
        <w:rPr>
          <w:b/>
        </w:rPr>
        <w:t xml:space="preserve">Routinization: </w:t>
      </w:r>
      <w:r>
        <w:t>Embedding AI in recurring organizational practices.</w:t>
      </w:r>
    </w:p>
    <w:p>
      <w:r>
        <w:rPr>
          <w:b/>
        </w:rPr>
        <w:t xml:space="preserve">AI Strategy: </w:t>
      </w:r>
      <w:r>
        <w:t>Strategic direction and alignment of AI initiatives.</w:t>
      </w:r>
    </w:p>
    <w:p>
      <w:r>
        <w:rPr>
          <w:b/>
        </w:rPr>
        <w:t xml:space="preserve">AI Use Case: </w:t>
      </w:r>
      <w:r>
        <w:t>Identification and evaluation of suitable AI applications.</w:t>
      </w:r>
    </w:p>
    <w:p>
      <w:r>
        <w:rPr>
          <w:b/>
        </w:rPr>
        <w:t xml:space="preserve">Implementation Coordination: </w:t>
      </w:r>
      <w:r>
        <w:t>Coordination of actors, resources and implementation activities.</w:t>
      </w:r>
    </w:p>
    <w:p>
      <w:r>
        <w:rPr>
          <w:b/>
        </w:rPr>
        <w:t xml:space="preserve">Responsible AI Governance: </w:t>
      </w:r>
      <w:r>
        <w:t>Accountability, oversight and ethical or regulatory controls.</w:t>
      </w:r>
    </w:p>
    <w:p>
      <w:r>
        <w:rPr>
          <w:b/>
        </w:rPr>
        <w:t xml:space="preserve">Value Creation: </w:t>
      </w:r>
      <w:r>
        <w:t>Benefits and performance associated with organizational AI use.</w:t>
      </w:r>
    </w:p>
    <w:p>
      <w:r>
        <w:rPr>
          <w:b/>
        </w:rPr>
        <w:t xml:space="preserve">Risk Outcomes: </w:t>
      </w:r>
      <w:r>
        <w:t>Adverse consequences or stakeholder risks associated with AI use.</w:t>
      </w:r>
    </w:p>
    <w:p>
      <w:pPr>
        <w:pStyle w:val="Heading1"/>
      </w:pPr>
      <w:r>
        <w:t>Appraisal and selection records</w:t>
      </w:r>
    </w:p>
    <w:p>
      <w:r>
        <w:t>The manuscript describes qualitative appraisal across methodological clarity, design appropriateness, evidence quality, interpretation, ethical relevance, and reporting transparency. No numerical appraisal ratings or agreement statistics are supplied. Aggregate full-text exclusion counts are 16 technical-focus, 6 general-ethics, and 6 non-organizational reports; individual excluded-report decisions are not included in this supplement.</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