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45C7" w14:textId="34D8A6DB" w:rsidR="00E947F9" w:rsidRPr="00E947F9" w:rsidRDefault="00E947F9" w:rsidP="00E947F9">
      <w:pPr>
        <w:spacing w:after="0" w:line="360" w:lineRule="auto"/>
        <w:jc w:val="center"/>
        <w:rPr>
          <w:rFonts w:ascii="Times New Roman" w:hAnsi="Times New Roman" w:cs="Times New Roman"/>
          <w:b/>
          <w:bCs/>
          <w:color w:val="2F5496" w:themeColor="accent1" w:themeShade="BF"/>
          <w:sz w:val="36"/>
          <w:szCs w:val="36"/>
        </w:rPr>
      </w:pPr>
      <w:r w:rsidRPr="00E947F9">
        <w:rPr>
          <w:rFonts w:ascii="Times New Roman" w:hAnsi="Times New Roman" w:cs="Times New Roman"/>
          <w:b/>
          <w:bCs/>
          <w:color w:val="2F5496" w:themeColor="accent1" w:themeShade="BF"/>
          <w:sz w:val="36"/>
          <w:szCs w:val="36"/>
        </w:rPr>
        <w:t xml:space="preserve">INSURANCE </w:t>
      </w:r>
      <w:r w:rsidR="001658B9">
        <w:rPr>
          <w:rFonts w:ascii="Times New Roman" w:hAnsi="Times New Roman" w:cs="Times New Roman"/>
          <w:b/>
          <w:bCs/>
          <w:color w:val="2F5496" w:themeColor="accent1" w:themeShade="BF"/>
          <w:sz w:val="36"/>
          <w:szCs w:val="36"/>
        </w:rPr>
        <w:t>RISK &amp; CLAIMS ANALYSIS</w:t>
      </w:r>
    </w:p>
    <w:p w14:paraId="1855CD9D" w14:textId="00DB1ABC" w:rsidR="00E947F9" w:rsidRPr="00F252B0" w:rsidRDefault="00E947F9" w:rsidP="00E947F9">
      <w:pPr>
        <w:spacing w:after="0" w:line="360" w:lineRule="auto"/>
        <w:jc w:val="center"/>
        <w:rPr>
          <w:rFonts w:ascii="Times New Roman" w:hAnsi="Times New Roman" w:cs="Times New Roman"/>
          <w:b/>
          <w:bCs/>
          <w:color w:val="002060"/>
          <w:sz w:val="32"/>
          <w:szCs w:val="32"/>
        </w:rPr>
      </w:pPr>
      <w:r w:rsidRPr="00F252B0">
        <w:rPr>
          <w:rFonts w:ascii="Times New Roman" w:hAnsi="Times New Roman" w:cs="Times New Roman"/>
          <w:b/>
          <w:bCs/>
          <w:color w:val="002060"/>
          <w:sz w:val="32"/>
          <w:szCs w:val="32"/>
          <w:highlight w:val="yellow"/>
        </w:rPr>
        <w:t>DOMAIN DOCUMENT</w:t>
      </w:r>
    </w:p>
    <w:p w14:paraId="681B0199" w14:textId="029ABF31" w:rsidR="00E947F9" w:rsidRPr="00E947F9" w:rsidRDefault="00E947F9" w:rsidP="00E947F9">
      <w:pPr>
        <w:spacing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This dataset contains detailed information about car insurance policyholders, their vehicles, and their claim history. Each record represents an individual customer with demographic details such as birthdate, gender, marital status, education level, household income, and parental status. These attributes provide a strong basis for understanding customer profiles and how personal characteristics may influence driving behaviour and insurance risk.</w:t>
      </w:r>
    </w:p>
    <w:p w14:paraId="6F193906" w14:textId="1A9E18EF" w:rsidR="00E947F9" w:rsidRPr="00E947F9" w:rsidRDefault="00E947F9" w:rsidP="00E947F9">
      <w:pPr>
        <w:spacing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The dataset also captures rich details about the insured vehicle, including car make, model, colour, year of manufacture, and usage type (personal, commercial, or commuting). Combined with the coverage zone, this information helps in assessing environmental and vehicle-related risk factors. For example, an older car used for commercial purposes in an urban area may carry a different risk profile compared to a new personal car in a rural zone.</w:t>
      </w:r>
    </w:p>
    <w:p w14:paraId="35AD9158" w14:textId="77777777" w:rsidR="00E947F9" w:rsidRPr="00E947F9" w:rsidRDefault="00E947F9" w:rsidP="00E947F9">
      <w:pPr>
        <w:spacing w:after="0"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 xml:space="preserve">On the financial and claims side, the dataset includes claim amount (total cost of claims filed), claim frequency (number of claims filed), and household income. These fields are critical in evaluating customer value and risk. High-frequency claimants may signal higher risk, while high claim amounts could indicate severe accidents or expensive repairs. The Kids Driving field adds another dimension, reflecting household driving </w:t>
      </w:r>
      <w:proofErr w:type="spellStart"/>
      <w:r w:rsidRPr="00E947F9">
        <w:rPr>
          <w:rFonts w:ascii="Times New Roman" w:hAnsi="Times New Roman" w:cs="Times New Roman"/>
          <w:color w:val="002060"/>
          <w:sz w:val="24"/>
          <w:szCs w:val="24"/>
        </w:rPr>
        <w:t>behavior</w:t>
      </w:r>
      <w:proofErr w:type="spellEnd"/>
      <w:r w:rsidRPr="00E947F9">
        <w:rPr>
          <w:rFonts w:ascii="Times New Roman" w:hAnsi="Times New Roman" w:cs="Times New Roman"/>
          <w:color w:val="002060"/>
          <w:sz w:val="24"/>
          <w:szCs w:val="24"/>
        </w:rPr>
        <w:t>, since households with multiple young drivers are typically considered riskier by insurers.</w:t>
      </w:r>
    </w:p>
    <w:p w14:paraId="5EADA1AD" w14:textId="77777777" w:rsidR="00E947F9" w:rsidRPr="00E947F9" w:rsidRDefault="00E947F9" w:rsidP="00E947F9">
      <w:pPr>
        <w:spacing w:after="0"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Overall, this dataset offers a comprehensive view of customers, vehicles, and claims. It can be used to build Power BI dashboards for claims analysis, customer segmentation, risk profiling, and premium optimization. Insights derived from the data can help insurance companies design fairer pricing models, identify high-risk segments, detect potential fraud, and improve customer targeting strategies.</w:t>
      </w:r>
    </w:p>
    <w:p w14:paraId="4A2B3550" w14:textId="77777777" w:rsidR="00E947F9" w:rsidRPr="00E947F9" w:rsidRDefault="00E947F9" w:rsidP="00E947F9">
      <w:pPr>
        <w:spacing w:after="0" w:line="360" w:lineRule="auto"/>
        <w:rPr>
          <w:rFonts w:ascii="Times New Roman" w:hAnsi="Times New Roman" w:cs="Times New Roman"/>
          <w:b/>
          <w:bCs/>
          <w:color w:val="002060"/>
          <w:sz w:val="32"/>
          <w:szCs w:val="32"/>
        </w:rPr>
      </w:pPr>
    </w:p>
    <w:p w14:paraId="3A4A2384" w14:textId="1EFCC5F0"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 ID</w:t>
      </w:r>
    </w:p>
    <w:p w14:paraId="49416155"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A unique identifier assigned to each policyholder or insurance record.</w:t>
      </w:r>
    </w:p>
    <w:p w14:paraId="6C3FE6AC"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or text (Primary Key).</w:t>
      </w:r>
    </w:p>
    <w:p w14:paraId="6A814ACB"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7D1F46C0" w14:textId="77777777" w:rsidR="00E947F9" w:rsidRPr="00E947F9" w:rsidRDefault="00E947F9" w:rsidP="00E947F9">
      <w:pPr>
        <w:numPr>
          <w:ilvl w:val="1"/>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Ensures each policy/customer record is unique.</w:t>
      </w:r>
    </w:p>
    <w:p w14:paraId="33EA415E" w14:textId="77777777" w:rsidR="00E947F9" w:rsidRPr="00E947F9" w:rsidRDefault="00E947F9" w:rsidP="00E947F9">
      <w:pPr>
        <w:numPr>
          <w:ilvl w:val="1"/>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Not used directly in analysis but essential for data integrity, relationships, and avoiding duplicates.</w:t>
      </w:r>
    </w:p>
    <w:p w14:paraId="3CDA7250"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lastRenderedPageBreak/>
        <w:t>Business Use:</w:t>
      </w:r>
      <w:r w:rsidRPr="00E947F9">
        <w:rPr>
          <w:rFonts w:ascii="Times New Roman" w:hAnsi="Times New Roman" w:cs="Times New Roman"/>
          <w:sz w:val="24"/>
          <w:szCs w:val="24"/>
        </w:rPr>
        <w:t xml:space="preserve"> Helps track individual policyholders across multiple datasets (e.g., linking claims, payments, or renewals).</w:t>
      </w:r>
    </w:p>
    <w:p w14:paraId="236045A0" w14:textId="72B3602D" w:rsidR="00E947F9" w:rsidRPr="00E947F9" w:rsidRDefault="00E947F9" w:rsidP="00E947F9">
      <w:pPr>
        <w:spacing w:after="0" w:line="360" w:lineRule="auto"/>
        <w:jc w:val="both"/>
        <w:rPr>
          <w:rFonts w:ascii="Times New Roman" w:hAnsi="Times New Roman" w:cs="Times New Roman"/>
          <w:sz w:val="24"/>
          <w:szCs w:val="24"/>
        </w:rPr>
      </w:pPr>
    </w:p>
    <w:p w14:paraId="3F5BC771"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2. Birthdate</w:t>
      </w:r>
    </w:p>
    <w:p w14:paraId="3EFF1C5B"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Date of birth of the policyholder.</w:t>
      </w:r>
    </w:p>
    <w:p w14:paraId="5BEFB4E2"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Date.</w:t>
      </w:r>
    </w:p>
    <w:p w14:paraId="15FB3C8A"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624E25F7"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Used to calculate the </w:t>
      </w:r>
      <w:r w:rsidRPr="00E947F9">
        <w:rPr>
          <w:rFonts w:ascii="Times New Roman" w:hAnsi="Times New Roman" w:cs="Times New Roman"/>
          <w:b/>
          <w:bCs/>
          <w:sz w:val="24"/>
          <w:szCs w:val="24"/>
        </w:rPr>
        <w:t>Age</w:t>
      </w:r>
      <w:r w:rsidRPr="00E947F9">
        <w:rPr>
          <w:rFonts w:ascii="Times New Roman" w:hAnsi="Times New Roman" w:cs="Times New Roman"/>
          <w:sz w:val="24"/>
          <w:szCs w:val="24"/>
        </w:rPr>
        <w:t xml:space="preserve"> of the policyholder.</w:t>
      </w:r>
    </w:p>
    <w:p w14:paraId="6B135888"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Age is a strong factor in insurance risk assessment (younger drivers may have more accidents, older drivers may have slower reflexes).</w:t>
      </w:r>
    </w:p>
    <w:p w14:paraId="60385782"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6C820B0A"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Segment customers into age groups (e.g., &lt;25, 25–40, 40–60, 60+).</w:t>
      </w:r>
    </w:p>
    <w:p w14:paraId="53EE5F4A"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Age-based pricing of premiums and risk profiling.</w:t>
      </w:r>
    </w:p>
    <w:p w14:paraId="7ACA8002" w14:textId="667D940F" w:rsidR="00E947F9" w:rsidRPr="00E947F9" w:rsidRDefault="00E947F9" w:rsidP="00E947F9">
      <w:pPr>
        <w:spacing w:after="0" w:line="360" w:lineRule="auto"/>
        <w:jc w:val="both"/>
        <w:rPr>
          <w:rFonts w:ascii="Times New Roman" w:hAnsi="Times New Roman" w:cs="Times New Roman"/>
          <w:sz w:val="24"/>
          <w:szCs w:val="24"/>
        </w:rPr>
      </w:pPr>
    </w:p>
    <w:p w14:paraId="459DBCAB"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 xml:space="preserve">3. Car </w:t>
      </w:r>
      <w:proofErr w:type="spellStart"/>
      <w:r w:rsidRPr="00E947F9">
        <w:rPr>
          <w:rFonts w:ascii="Times New Roman" w:hAnsi="Times New Roman" w:cs="Times New Roman"/>
          <w:b/>
          <w:bCs/>
          <w:sz w:val="24"/>
          <w:szCs w:val="24"/>
        </w:rPr>
        <w:t>Color</w:t>
      </w:r>
      <w:proofErr w:type="spellEnd"/>
    </w:p>
    <w:p w14:paraId="4F5BD459"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exterior </w:t>
      </w:r>
      <w:proofErr w:type="spellStart"/>
      <w:r w:rsidRPr="00E947F9">
        <w:rPr>
          <w:rFonts w:ascii="Times New Roman" w:hAnsi="Times New Roman" w:cs="Times New Roman"/>
          <w:sz w:val="24"/>
          <w:szCs w:val="24"/>
        </w:rPr>
        <w:t>color</w:t>
      </w:r>
      <w:proofErr w:type="spellEnd"/>
      <w:r w:rsidRPr="00E947F9">
        <w:rPr>
          <w:rFonts w:ascii="Times New Roman" w:hAnsi="Times New Roman" w:cs="Times New Roman"/>
          <w:sz w:val="24"/>
          <w:szCs w:val="24"/>
        </w:rPr>
        <w:t xml:space="preserve"> of the insured car.</w:t>
      </w:r>
    </w:p>
    <w:p w14:paraId="10EE2736"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 (text).</w:t>
      </w:r>
    </w:p>
    <w:p w14:paraId="1B630408"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09E7056" w14:textId="77777777" w:rsidR="00E947F9" w:rsidRPr="00E947F9" w:rsidRDefault="00E947F9" w:rsidP="00E947F9">
      <w:pPr>
        <w:numPr>
          <w:ilvl w:val="1"/>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Although </w:t>
      </w:r>
      <w:proofErr w:type="spellStart"/>
      <w:r w:rsidRPr="00E947F9">
        <w:rPr>
          <w:rFonts w:ascii="Times New Roman" w:hAnsi="Times New Roman" w:cs="Times New Roman"/>
          <w:sz w:val="24"/>
          <w:szCs w:val="24"/>
        </w:rPr>
        <w:t>color</w:t>
      </w:r>
      <w:proofErr w:type="spellEnd"/>
      <w:r w:rsidRPr="00E947F9">
        <w:rPr>
          <w:rFonts w:ascii="Times New Roman" w:hAnsi="Times New Roman" w:cs="Times New Roman"/>
          <w:sz w:val="24"/>
          <w:szCs w:val="24"/>
        </w:rPr>
        <w:t xml:space="preserve"> doesn’t directly affect risk, it can influence </w:t>
      </w:r>
      <w:r w:rsidRPr="00E947F9">
        <w:rPr>
          <w:rFonts w:ascii="Times New Roman" w:hAnsi="Times New Roman" w:cs="Times New Roman"/>
          <w:b/>
          <w:bCs/>
          <w:sz w:val="24"/>
          <w:szCs w:val="24"/>
        </w:rPr>
        <w:t>car visibility, theft probability, and customer preferences</w:t>
      </w:r>
      <w:r w:rsidRPr="00E947F9">
        <w:rPr>
          <w:rFonts w:ascii="Times New Roman" w:hAnsi="Times New Roman" w:cs="Times New Roman"/>
          <w:sz w:val="24"/>
          <w:szCs w:val="24"/>
        </w:rPr>
        <w:t>.</w:t>
      </w:r>
    </w:p>
    <w:p w14:paraId="19486D62"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0A990FC9" w14:textId="77777777" w:rsidR="00E947F9" w:rsidRPr="00E947F9" w:rsidRDefault="00E947F9" w:rsidP="00E947F9">
      <w:pPr>
        <w:numPr>
          <w:ilvl w:val="1"/>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Explore patterns (e.g., some studies suggest red cars might be involved in more speeding cases).</w:t>
      </w:r>
    </w:p>
    <w:p w14:paraId="2CFF5AED" w14:textId="77777777" w:rsidR="00E947F9" w:rsidRPr="00E947F9" w:rsidRDefault="00E947F9" w:rsidP="00E947F9">
      <w:pPr>
        <w:numPr>
          <w:ilvl w:val="1"/>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Insights for fraud detection (unusual </w:t>
      </w:r>
      <w:proofErr w:type="spellStart"/>
      <w:r w:rsidRPr="00E947F9">
        <w:rPr>
          <w:rFonts w:ascii="Times New Roman" w:hAnsi="Times New Roman" w:cs="Times New Roman"/>
          <w:sz w:val="24"/>
          <w:szCs w:val="24"/>
        </w:rPr>
        <w:t>color</w:t>
      </w:r>
      <w:proofErr w:type="spellEnd"/>
      <w:r w:rsidRPr="00E947F9">
        <w:rPr>
          <w:rFonts w:ascii="Times New Roman" w:hAnsi="Times New Roman" w:cs="Times New Roman"/>
          <w:sz w:val="24"/>
          <w:szCs w:val="24"/>
        </w:rPr>
        <w:t>-claim patterns).</w:t>
      </w:r>
    </w:p>
    <w:p w14:paraId="5B5005D2" w14:textId="7AA5EB12" w:rsidR="00E947F9" w:rsidRPr="00E947F9" w:rsidRDefault="00E947F9" w:rsidP="00E947F9">
      <w:pPr>
        <w:spacing w:after="0" w:line="360" w:lineRule="auto"/>
        <w:jc w:val="both"/>
        <w:rPr>
          <w:rFonts w:ascii="Times New Roman" w:hAnsi="Times New Roman" w:cs="Times New Roman"/>
          <w:sz w:val="24"/>
          <w:szCs w:val="24"/>
        </w:rPr>
      </w:pPr>
    </w:p>
    <w:p w14:paraId="27FC2D52"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4. Car Make</w:t>
      </w:r>
    </w:p>
    <w:p w14:paraId="10636913"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manufacturer/brand of the car (e.g., Toyota, Ford, BMW).</w:t>
      </w:r>
    </w:p>
    <w:p w14:paraId="50C2BFEA"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5A494ED2"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961ADD3"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Different makes have varying repair costs and accident likelihood.</w:t>
      </w:r>
    </w:p>
    <w:p w14:paraId="435641D5"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F285B79"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proofErr w:type="spellStart"/>
      <w:r w:rsidRPr="00E947F9">
        <w:rPr>
          <w:rFonts w:ascii="Times New Roman" w:hAnsi="Times New Roman" w:cs="Times New Roman"/>
          <w:sz w:val="24"/>
          <w:szCs w:val="24"/>
        </w:rPr>
        <w:t>Analyze</w:t>
      </w:r>
      <w:proofErr w:type="spellEnd"/>
      <w:r w:rsidRPr="00E947F9">
        <w:rPr>
          <w:rFonts w:ascii="Times New Roman" w:hAnsi="Times New Roman" w:cs="Times New Roman"/>
          <w:sz w:val="24"/>
          <w:szCs w:val="24"/>
        </w:rPr>
        <w:t xml:space="preserve"> claims by car brand.</w:t>
      </w:r>
    </w:p>
    <w:p w14:paraId="2A4A1BA8"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Identify which brands have higher claim frequency (riskier) vs lower claims (safer).</w:t>
      </w:r>
    </w:p>
    <w:p w14:paraId="7813C8AE"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lastRenderedPageBreak/>
        <w:t>Useful for underwriting and premium adjustments.</w:t>
      </w:r>
    </w:p>
    <w:p w14:paraId="2A06B472" w14:textId="4A3819C2" w:rsidR="00E947F9" w:rsidRPr="00E947F9" w:rsidRDefault="00E947F9" w:rsidP="00E947F9">
      <w:pPr>
        <w:spacing w:after="0" w:line="360" w:lineRule="auto"/>
        <w:jc w:val="both"/>
        <w:rPr>
          <w:rFonts w:ascii="Times New Roman" w:hAnsi="Times New Roman" w:cs="Times New Roman"/>
          <w:sz w:val="24"/>
          <w:szCs w:val="24"/>
        </w:rPr>
      </w:pPr>
    </w:p>
    <w:p w14:paraId="5E454F5B"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5. Car Model</w:t>
      </w:r>
    </w:p>
    <w:p w14:paraId="24023D03"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Specific model of the car (e.g., Toyota Corolla, BMW X5).</w:t>
      </w:r>
    </w:p>
    <w:p w14:paraId="04EB6599"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55A55953"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360AE94"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Provides deeper granularity beyond car make.</w:t>
      </w:r>
    </w:p>
    <w:p w14:paraId="6F162D0B"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Claim risk can vary significantly between models of the same make.</w:t>
      </w:r>
    </w:p>
    <w:p w14:paraId="40CAF190"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44A1F0D0"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claims for luxury vs economy models.</w:t>
      </w:r>
    </w:p>
    <w:p w14:paraId="13A02AB1"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Useful for </w:t>
      </w:r>
      <w:r w:rsidRPr="00E947F9">
        <w:rPr>
          <w:rFonts w:ascii="Times New Roman" w:hAnsi="Times New Roman" w:cs="Times New Roman"/>
          <w:b/>
          <w:bCs/>
          <w:sz w:val="24"/>
          <w:szCs w:val="24"/>
        </w:rPr>
        <w:t>loss ratio</w:t>
      </w:r>
      <w:r w:rsidRPr="00E947F9">
        <w:rPr>
          <w:rFonts w:ascii="Times New Roman" w:hAnsi="Times New Roman" w:cs="Times New Roman"/>
          <w:sz w:val="24"/>
          <w:szCs w:val="24"/>
        </w:rPr>
        <w:t xml:space="preserve"> analysis by vehicle type.</w:t>
      </w:r>
    </w:p>
    <w:p w14:paraId="02927496" w14:textId="65410A01" w:rsidR="00E947F9" w:rsidRPr="00E947F9" w:rsidRDefault="00E947F9" w:rsidP="00E947F9">
      <w:pPr>
        <w:spacing w:after="0" w:line="360" w:lineRule="auto"/>
        <w:jc w:val="both"/>
        <w:rPr>
          <w:rFonts w:ascii="Times New Roman" w:hAnsi="Times New Roman" w:cs="Times New Roman"/>
          <w:sz w:val="24"/>
          <w:szCs w:val="24"/>
        </w:rPr>
      </w:pPr>
    </w:p>
    <w:p w14:paraId="478F5F61"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6. Car Use</w:t>
      </w:r>
    </w:p>
    <w:p w14:paraId="624AF19E"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primary purpose of the car (e.g., Personal, Commercial, Commute).</w:t>
      </w:r>
    </w:p>
    <w:p w14:paraId="70242206"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353A2209"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23895CE" w14:textId="77777777" w:rsidR="00E947F9" w:rsidRPr="00E947F9" w:rsidRDefault="00E947F9" w:rsidP="00E947F9">
      <w:pPr>
        <w:numPr>
          <w:ilvl w:val="1"/>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Commercial and commuting cars usually have higher claim rates due to greater exposure (more time on the road).</w:t>
      </w:r>
    </w:p>
    <w:p w14:paraId="1FD7ADD8"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3034FF2D" w14:textId="77777777" w:rsidR="00E947F9" w:rsidRPr="00E947F9" w:rsidRDefault="00E947F9" w:rsidP="00E947F9">
      <w:pPr>
        <w:numPr>
          <w:ilvl w:val="1"/>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Pricing policies differently for personal vs commercial use.</w:t>
      </w:r>
    </w:p>
    <w:p w14:paraId="7C2E34AA" w14:textId="77777777" w:rsidR="00E947F9" w:rsidRPr="00E947F9" w:rsidRDefault="00E947F9" w:rsidP="00E947F9">
      <w:pPr>
        <w:numPr>
          <w:ilvl w:val="1"/>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Risk profiling based on usage patterns.</w:t>
      </w:r>
    </w:p>
    <w:p w14:paraId="13A75D5D" w14:textId="0B29C319" w:rsidR="00E947F9" w:rsidRPr="00E947F9" w:rsidRDefault="00E947F9" w:rsidP="00E947F9">
      <w:pPr>
        <w:spacing w:after="0" w:line="360" w:lineRule="auto"/>
        <w:jc w:val="both"/>
        <w:rPr>
          <w:rFonts w:ascii="Times New Roman" w:hAnsi="Times New Roman" w:cs="Times New Roman"/>
          <w:sz w:val="24"/>
          <w:szCs w:val="24"/>
        </w:rPr>
      </w:pPr>
    </w:p>
    <w:p w14:paraId="16B57927"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7. Car Year</w:t>
      </w:r>
    </w:p>
    <w:p w14:paraId="4AF581C4"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manufacturing year of the car.</w:t>
      </w:r>
    </w:p>
    <w:p w14:paraId="478029AC"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w:t>
      </w:r>
    </w:p>
    <w:p w14:paraId="1ACB93CA"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0EF159DE"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Helps calculate </w:t>
      </w:r>
      <w:r w:rsidRPr="00E947F9">
        <w:rPr>
          <w:rFonts w:ascii="Times New Roman" w:hAnsi="Times New Roman" w:cs="Times New Roman"/>
          <w:b/>
          <w:bCs/>
          <w:sz w:val="24"/>
          <w:szCs w:val="24"/>
        </w:rPr>
        <w:t>Car Age</w:t>
      </w:r>
      <w:r w:rsidRPr="00E947F9">
        <w:rPr>
          <w:rFonts w:ascii="Times New Roman" w:hAnsi="Times New Roman" w:cs="Times New Roman"/>
          <w:sz w:val="24"/>
          <w:szCs w:val="24"/>
        </w:rPr>
        <w:t xml:space="preserve"> = Current Year – Car Year.</w:t>
      </w:r>
    </w:p>
    <w:p w14:paraId="5C1156F0"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Older cars may break down more often or have lower resale/repair costs.</w:t>
      </w:r>
    </w:p>
    <w:p w14:paraId="2041255B"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7E42EAAC"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Assess claim likelihood by vehicle age.</w:t>
      </w:r>
    </w:p>
    <w:p w14:paraId="6831C7C9"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Create segments like New (&lt;3 years), Mid-age (3–10 years), Old (&gt;10 years).</w:t>
      </w:r>
    </w:p>
    <w:p w14:paraId="58CA5B3C" w14:textId="5C2E5DC9" w:rsidR="00E947F9" w:rsidRDefault="00E947F9" w:rsidP="00E947F9">
      <w:pPr>
        <w:spacing w:after="0" w:line="360" w:lineRule="auto"/>
        <w:jc w:val="both"/>
        <w:rPr>
          <w:rFonts w:ascii="Times New Roman" w:hAnsi="Times New Roman" w:cs="Times New Roman"/>
          <w:sz w:val="24"/>
          <w:szCs w:val="24"/>
        </w:rPr>
      </w:pPr>
    </w:p>
    <w:p w14:paraId="5D6F8FA1" w14:textId="77777777" w:rsidR="00DE29BA" w:rsidRDefault="00DE29BA" w:rsidP="00E947F9">
      <w:pPr>
        <w:spacing w:after="0" w:line="360" w:lineRule="auto"/>
        <w:jc w:val="both"/>
        <w:rPr>
          <w:rFonts w:ascii="Times New Roman" w:hAnsi="Times New Roman" w:cs="Times New Roman"/>
          <w:sz w:val="24"/>
          <w:szCs w:val="24"/>
        </w:rPr>
      </w:pPr>
    </w:p>
    <w:p w14:paraId="60BCEAF1" w14:textId="77777777" w:rsidR="00DE29BA" w:rsidRPr="00E947F9" w:rsidRDefault="00DE29BA" w:rsidP="00E947F9">
      <w:pPr>
        <w:spacing w:after="0" w:line="360" w:lineRule="auto"/>
        <w:jc w:val="both"/>
        <w:rPr>
          <w:rFonts w:ascii="Times New Roman" w:hAnsi="Times New Roman" w:cs="Times New Roman"/>
          <w:sz w:val="24"/>
          <w:szCs w:val="24"/>
        </w:rPr>
      </w:pPr>
    </w:p>
    <w:p w14:paraId="661AF83E"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lastRenderedPageBreak/>
        <w:t>8. Coverage Zone</w:t>
      </w:r>
    </w:p>
    <w:p w14:paraId="33B24E7F"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geographic risk area where the policyholder resides/uses the car (e.g., Zone A, Urban, Rural).</w:t>
      </w:r>
    </w:p>
    <w:p w14:paraId="5A7A2E29"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1C49B470"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529BE27C"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Location impacts accident probability, theft risk, and repair costs.</w:t>
      </w:r>
    </w:p>
    <w:p w14:paraId="414C98EC"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Urban areas → higher claim frequency, rural areas → fewer accidents but possibly more severe damage.</w:t>
      </w:r>
    </w:p>
    <w:p w14:paraId="32936276"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B3522B4"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performance across regions.</w:t>
      </w:r>
    </w:p>
    <w:p w14:paraId="20814B6E"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Useful for </w:t>
      </w:r>
      <w:r w:rsidRPr="00E947F9">
        <w:rPr>
          <w:rFonts w:ascii="Times New Roman" w:hAnsi="Times New Roman" w:cs="Times New Roman"/>
          <w:b/>
          <w:bCs/>
          <w:sz w:val="24"/>
          <w:szCs w:val="24"/>
        </w:rPr>
        <w:t>mapping dashboards in Power BI</w:t>
      </w:r>
      <w:r w:rsidRPr="00E947F9">
        <w:rPr>
          <w:rFonts w:ascii="Times New Roman" w:hAnsi="Times New Roman" w:cs="Times New Roman"/>
          <w:sz w:val="24"/>
          <w:szCs w:val="24"/>
        </w:rPr>
        <w:t>.</w:t>
      </w:r>
    </w:p>
    <w:p w14:paraId="1B376DFD" w14:textId="4A8E0D05" w:rsidR="00E947F9" w:rsidRPr="00E947F9" w:rsidRDefault="00E947F9" w:rsidP="00E947F9">
      <w:pPr>
        <w:spacing w:after="0" w:line="360" w:lineRule="auto"/>
        <w:jc w:val="both"/>
        <w:rPr>
          <w:rFonts w:ascii="Times New Roman" w:hAnsi="Times New Roman" w:cs="Times New Roman"/>
          <w:sz w:val="24"/>
          <w:szCs w:val="24"/>
        </w:rPr>
      </w:pPr>
    </w:p>
    <w:p w14:paraId="38835123"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9. Education</w:t>
      </w:r>
    </w:p>
    <w:p w14:paraId="20CC7778"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highest education level attained by the policyholder (e.g., High School, Graduate, Postgraduate).</w:t>
      </w:r>
    </w:p>
    <w:p w14:paraId="5F100292"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043F7BED"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281E142" w14:textId="77777777" w:rsidR="00E947F9" w:rsidRPr="00E947F9" w:rsidRDefault="00E947F9" w:rsidP="00E947F9">
      <w:pPr>
        <w:numPr>
          <w:ilvl w:val="1"/>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Education level often correlates with income and risk </w:t>
      </w:r>
      <w:proofErr w:type="spellStart"/>
      <w:r w:rsidRPr="00E947F9">
        <w:rPr>
          <w:rFonts w:ascii="Times New Roman" w:hAnsi="Times New Roman" w:cs="Times New Roman"/>
          <w:sz w:val="24"/>
          <w:szCs w:val="24"/>
        </w:rPr>
        <w:t>behavior</w:t>
      </w:r>
      <w:proofErr w:type="spellEnd"/>
      <w:r w:rsidRPr="00E947F9">
        <w:rPr>
          <w:rFonts w:ascii="Times New Roman" w:hAnsi="Times New Roman" w:cs="Times New Roman"/>
          <w:sz w:val="24"/>
          <w:szCs w:val="24"/>
        </w:rPr>
        <w:t>.</w:t>
      </w:r>
    </w:p>
    <w:p w14:paraId="1BAB5042"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1632BF0F" w14:textId="77777777" w:rsidR="00E947F9" w:rsidRPr="00E947F9" w:rsidRDefault="00E947F9" w:rsidP="00E947F9">
      <w:pPr>
        <w:numPr>
          <w:ilvl w:val="1"/>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Check claim frequency by education group.</w:t>
      </w:r>
    </w:p>
    <w:p w14:paraId="33D85613" w14:textId="77777777" w:rsidR="00E947F9" w:rsidRPr="00E947F9" w:rsidRDefault="00E947F9" w:rsidP="00E947F9">
      <w:pPr>
        <w:numPr>
          <w:ilvl w:val="1"/>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Insights for marketing campaigns and segmentation.</w:t>
      </w:r>
    </w:p>
    <w:p w14:paraId="0D6AF684" w14:textId="4696611E" w:rsidR="00E947F9" w:rsidRPr="00E947F9" w:rsidRDefault="00E947F9" w:rsidP="00E947F9">
      <w:pPr>
        <w:spacing w:after="0" w:line="360" w:lineRule="auto"/>
        <w:jc w:val="both"/>
        <w:rPr>
          <w:rFonts w:ascii="Times New Roman" w:hAnsi="Times New Roman" w:cs="Times New Roman"/>
          <w:sz w:val="24"/>
          <w:szCs w:val="24"/>
        </w:rPr>
      </w:pPr>
    </w:p>
    <w:p w14:paraId="5B7FD0BC"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10. Gender</w:t>
      </w:r>
    </w:p>
    <w:p w14:paraId="5177B1A2"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Gender of the policyholder (Male, Female, Other).</w:t>
      </w:r>
    </w:p>
    <w:p w14:paraId="77E67EEC"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60A0133A"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780E7CB2" w14:textId="77777777" w:rsidR="00E947F9" w:rsidRPr="00E947F9" w:rsidRDefault="00E947F9" w:rsidP="00E947F9">
      <w:pPr>
        <w:numPr>
          <w:ilvl w:val="1"/>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Gender differences in claim patterns may exist.</w:t>
      </w:r>
    </w:p>
    <w:p w14:paraId="5ED2B6B1"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4B79238" w14:textId="77777777" w:rsidR="00E947F9" w:rsidRPr="00E947F9" w:rsidRDefault="00E947F9" w:rsidP="00E947F9">
      <w:pPr>
        <w:numPr>
          <w:ilvl w:val="1"/>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Risk analysis by gender group.</w:t>
      </w:r>
    </w:p>
    <w:p w14:paraId="21715A18" w14:textId="77777777" w:rsidR="00E947F9" w:rsidRPr="00E947F9" w:rsidRDefault="00E947F9" w:rsidP="00E947F9">
      <w:pPr>
        <w:numPr>
          <w:ilvl w:val="1"/>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Demographic breakdowns in dashboards.</w:t>
      </w:r>
    </w:p>
    <w:p w14:paraId="149A05D7" w14:textId="12188FBF" w:rsidR="00E947F9" w:rsidRPr="00E947F9" w:rsidRDefault="00E947F9" w:rsidP="00E947F9">
      <w:pPr>
        <w:spacing w:after="0" w:line="360" w:lineRule="auto"/>
        <w:jc w:val="both"/>
        <w:rPr>
          <w:rFonts w:ascii="Times New Roman" w:hAnsi="Times New Roman" w:cs="Times New Roman"/>
          <w:sz w:val="24"/>
          <w:szCs w:val="24"/>
        </w:rPr>
      </w:pPr>
    </w:p>
    <w:p w14:paraId="73DEC8A4"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11. Marital Status</w:t>
      </w:r>
    </w:p>
    <w:p w14:paraId="44C43CFB"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Marital status of the policyholder (Single, Married, Divorced, etc.).</w:t>
      </w:r>
    </w:p>
    <w:p w14:paraId="37643756"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1AABA307"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lastRenderedPageBreak/>
        <w:t>Details:</w:t>
      </w:r>
    </w:p>
    <w:p w14:paraId="459A13A4" w14:textId="77777777" w:rsidR="00E947F9" w:rsidRPr="00E947F9" w:rsidRDefault="00E947F9" w:rsidP="00E947F9">
      <w:pPr>
        <w:numPr>
          <w:ilvl w:val="1"/>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Married people are often seen as more stable, potentially lower risk.</w:t>
      </w:r>
    </w:p>
    <w:p w14:paraId="42F05B16"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19E33309" w14:textId="77777777" w:rsidR="00E947F9" w:rsidRPr="00E947F9" w:rsidRDefault="00E947F9" w:rsidP="00E947F9">
      <w:pPr>
        <w:numPr>
          <w:ilvl w:val="1"/>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claims between singles vs married customers.</w:t>
      </w:r>
    </w:p>
    <w:p w14:paraId="3C29A428" w14:textId="77777777" w:rsidR="00E947F9" w:rsidRPr="00E947F9" w:rsidRDefault="00E947F9" w:rsidP="00E947F9">
      <w:pPr>
        <w:numPr>
          <w:ilvl w:val="1"/>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Factor in pricing and risk adjustment.</w:t>
      </w:r>
    </w:p>
    <w:p w14:paraId="248B5BBD" w14:textId="534F4FAD" w:rsidR="00E947F9" w:rsidRPr="00E947F9" w:rsidRDefault="00E947F9" w:rsidP="00E947F9">
      <w:pPr>
        <w:spacing w:after="0" w:line="360" w:lineRule="auto"/>
        <w:jc w:val="both"/>
        <w:rPr>
          <w:rFonts w:ascii="Times New Roman" w:hAnsi="Times New Roman" w:cs="Times New Roman"/>
          <w:sz w:val="24"/>
          <w:szCs w:val="24"/>
        </w:rPr>
      </w:pPr>
    </w:p>
    <w:p w14:paraId="114B26E6"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12. Parent</w:t>
      </w:r>
    </w:p>
    <w:p w14:paraId="0B1FF2BD"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Whether the policyholder has children (Yes/No).</w:t>
      </w:r>
    </w:p>
    <w:p w14:paraId="63B00471"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Boolean / Categorical.</w:t>
      </w:r>
    </w:p>
    <w:p w14:paraId="72A73D56"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4E907BA" w14:textId="77777777" w:rsidR="00E947F9" w:rsidRPr="00E947F9" w:rsidRDefault="00E947F9" w:rsidP="00E947F9">
      <w:pPr>
        <w:numPr>
          <w:ilvl w:val="1"/>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Parents may drive differently compared to non-parents.</w:t>
      </w:r>
    </w:p>
    <w:p w14:paraId="4ADA2B3C"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2EB96D45" w14:textId="77777777" w:rsidR="00E947F9" w:rsidRPr="00E947F9" w:rsidRDefault="00E947F9" w:rsidP="00E947F9">
      <w:pPr>
        <w:numPr>
          <w:ilvl w:val="1"/>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Segment claims and policies by parent status.</w:t>
      </w:r>
    </w:p>
    <w:p w14:paraId="1AA1CD0E" w14:textId="77777777" w:rsidR="00E947F9" w:rsidRPr="00E947F9" w:rsidRDefault="00E947F9" w:rsidP="00E947F9">
      <w:pPr>
        <w:numPr>
          <w:ilvl w:val="1"/>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Combine with </w:t>
      </w:r>
      <w:r w:rsidRPr="00E947F9">
        <w:rPr>
          <w:rFonts w:ascii="Times New Roman" w:hAnsi="Times New Roman" w:cs="Times New Roman"/>
          <w:b/>
          <w:bCs/>
          <w:sz w:val="24"/>
          <w:szCs w:val="24"/>
        </w:rPr>
        <w:t>Kids Driving</w:t>
      </w:r>
      <w:r w:rsidRPr="00E947F9">
        <w:rPr>
          <w:rFonts w:ascii="Times New Roman" w:hAnsi="Times New Roman" w:cs="Times New Roman"/>
          <w:sz w:val="24"/>
          <w:szCs w:val="24"/>
        </w:rPr>
        <w:t xml:space="preserve"> for more detailed household analysis.</w:t>
      </w:r>
    </w:p>
    <w:p w14:paraId="4C445585" w14:textId="24B09004" w:rsidR="00E947F9" w:rsidRPr="00E947F9" w:rsidRDefault="00E947F9" w:rsidP="00E947F9">
      <w:pPr>
        <w:spacing w:after="0" w:line="360" w:lineRule="auto"/>
        <w:jc w:val="both"/>
        <w:rPr>
          <w:rFonts w:ascii="Times New Roman" w:hAnsi="Times New Roman" w:cs="Times New Roman"/>
          <w:sz w:val="24"/>
          <w:szCs w:val="24"/>
        </w:rPr>
      </w:pPr>
    </w:p>
    <w:p w14:paraId="7491BB6F"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13. Claim Amt</w:t>
      </w:r>
    </w:p>
    <w:p w14:paraId="15D095A7"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Total monetary value of claims filed by the policyholder.</w:t>
      </w:r>
    </w:p>
    <w:p w14:paraId="7E09D2C0"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(currency).</w:t>
      </w:r>
    </w:p>
    <w:p w14:paraId="59E6FA99"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0D289A53" w14:textId="77777777" w:rsidR="00E947F9" w:rsidRPr="00E947F9" w:rsidRDefault="00E947F9" w:rsidP="00E947F9">
      <w:pPr>
        <w:numPr>
          <w:ilvl w:val="1"/>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 critical measure of insurance losses.</w:t>
      </w:r>
    </w:p>
    <w:p w14:paraId="69B5145A"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62DAB55B" w14:textId="77777777" w:rsidR="00E947F9" w:rsidRPr="00E947F9" w:rsidRDefault="00E947F9" w:rsidP="00E947F9">
      <w:pPr>
        <w:numPr>
          <w:ilvl w:val="1"/>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Used to calculate </w:t>
      </w:r>
      <w:r w:rsidRPr="00E947F9">
        <w:rPr>
          <w:rFonts w:ascii="Times New Roman" w:hAnsi="Times New Roman" w:cs="Times New Roman"/>
          <w:b/>
          <w:bCs/>
          <w:sz w:val="24"/>
          <w:szCs w:val="24"/>
        </w:rPr>
        <w:t>total losses, average claim amount, and claim ratios</w:t>
      </w:r>
      <w:r w:rsidRPr="00E947F9">
        <w:rPr>
          <w:rFonts w:ascii="Times New Roman" w:hAnsi="Times New Roman" w:cs="Times New Roman"/>
          <w:sz w:val="24"/>
          <w:szCs w:val="24"/>
        </w:rPr>
        <w:t>.</w:t>
      </w:r>
    </w:p>
    <w:p w14:paraId="7B6C5D24" w14:textId="77777777" w:rsidR="00E947F9" w:rsidRPr="00E947F9" w:rsidRDefault="00E947F9" w:rsidP="00E947F9">
      <w:pPr>
        <w:numPr>
          <w:ilvl w:val="1"/>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Identify high-cost claims for fraud detection.</w:t>
      </w:r>
    </w:p>
    <w:p w14:paraId="073E1C4D" w14:textId="2491C012" w:rsidR="00E947F9" w:rsidRPr="00E947F9" w:rsidRDefault="00E947F9" w:rsidP="00E947F9">
      <w:pPr>
        <w:spacing w:after="0" w:line="360" w:lineRule="auto"/>
        <w:jc w:val="both"/>
        <w:rPr>
          <w:rFonts w:ascii="Times New Roman" w:hAnsi="Times New Roman" w:cs="Times New Roman"/>
          <w:sz w:val="24"/>
          <w:szCs w:val="24"/>
        </w:rPr>
      </w:pPr>
    </w:p>
    <w:p w14:paraId="74D070F0"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14. Claim Freq</w:t>
      </w:r>
    </w:p>
    <w:p w14:paraId="7B89A583"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number of claims filed by the policyholder.</w:t>
      </w:r>
    </w:p>
    <w:p w14:paraId="6A9F9C61"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(integer).</w:t>
      </w:r>
    </w:p>
    <w:p w14:paraId="083F36F1"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7C2B7F22" w14:textId="77777777" w:rsidR="00E947F9" w:rsidRPr="00E947F9" w:rsidRDefault="00E947F9" w:rsidP="00E947F9">
      <w:pPr>
        <w:numPr>
          <w:ilvl w:val="1"/>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Frequency of claims indicates risk </w:t>
      </w:r>
      <w:proofErr w:type="spellStart"/>
      <w:r w:rsidRPr="00E947F9">
        <w:rPr>
          <w:rFonts w:ascii="Times New Roman" w:hAnsi="Times New Roman" w:cs="Times New Roman"/>
          <w:sz w:val="24"/>
          <w:szCs w:val="24"/>
        </w:rPr>
        <w:t>behavior</w:t>
      </w:r>
      <w:proofErr w:type="spellEnd"/>
      <w:r w:rsidRPr="00E947F9">
        <w:rPr>
          <w:rFonts w:ascii="Times New Roman" w:hAnsi="Times New Roman" w:cs="Times New Roman"/>
          <w:sz w:val="24"/>
          <w:szCs w:val="24"/>
        </w:rPr>
        <w:t>.</w:t>
      </w:r>
    </w:p>
    <w:p w14:paraId="2BB93569"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7B42D2EF" w14:textId="77777777" w:rsidR="00E947F9" w:rsidRPr="00E947F9" w:rsidRDefault="00E947F9" w:rsidP="00E947F9">
      <w:pPr>
        <w:numPr>
          <w:ilvl w:val="1"/>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KPI for customer risk assessment.</w:t>
      </w:r>
    </w:p>
    <w:p w14:paraId="4DA31A34" w14:textId="77777777" w:rsidR="00E947F9" w:rsidRPr="00E947F9" w:rsidRDefault="00E947F9" w:rsidP="00E947F9">
      <w:pPr>
        <w:numPr>
          <w:ilvl w:val="1"/>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Combined with Claim Amt → identifies whether risk is due to high frequency or high severity.</w:t>
      </w:r>
    </w:p>
    <w:p w14:paraId="05310EA4" w14:textId="06824B7C" w:rsidR="00E947F9" w:rsidRPr="00E947F9" w:rsidRDefault="00E947F9" w:rsidP="00E947F9">
      <w:pPr>
        <w:spacing w:after="0" w:line="360" w:lineRule="auto"/>
        <w:jc w:val="both"/>
        <w:rPr>
          <w:rFonts w:ascii="Times New Roman" w:hAnsi="Times New Roman" w:cs="Times New Roman"/>
          <w:sz w:val="24"/>
          <w:szCs w:val="24"/>
        </w:rPr>
      </w:pPr>
    </w:p>
    <w:p w14:paraId="460B6393"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lastRenderedPageBreak/>
        <w:t>15. Household Income</w:t>
      </w:r>
    </w:p>
    <w:p w14:paraId="3DF7C882"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Annual income of the policyholder’s household.</w:t>
      </w:r>
    </w:p>
    <w:p w14:paraId="65D3EF5A"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w:t>
      </w:r>
    </w:p>
    <w:p w14:paraId="0E923E85"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B751A3C"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Income level affects affordability of premiums and vehicle type.</w:t>
      </w:r>
    </w:p>
    <w:p w14:paraId="767C1FD3"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12DDCC0E"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Segment customers into income bands.</w:t>
      </w:r>
    </w:p>
    <w:p w14:paraId="61E9E5DD"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claim patterns across income groups.</w:t>
      </w:r>
    </w:p>
    <w:p w14:paraId="652432A3"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Target marketing/policy offers (e.g., premium insurance for high-income households).</w:t>
      </w:r>
    </w:p>
    <w:p w14:paraId="38B791E0" w14:textId="4F967876" w:rsidR="00E947F9" w:rsidRPr="00E947F9" w:rsidRDefault="00E947F9" w:rsidP="00E947F9">
      <w:pPr>
        <w:spacing w:after="0" w:line="360" w:lineRule="auto"/>
        <w:jc w:val="both"/>
        <w:rPr>
          <w:rFonts w:ascii="Times New Roman" w:hAnsi="Times New Roman" w:cs="Times New Roman"/>
          <w:sz w:val="24"/>
          <w:szCs w:val="24"/>
        </w:rPr>
      </w:pPr>
    </w:p>
    <w:p w14:paraId="7563FF1C"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16. Kids Driving</w:t>
      </w:r>
    </w:p>
    <w:p w14:paraId="183ED2FB"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Number of kids in the household who are licensed drivers.</w:t>
      </w:r>
    </w:p>
    <w:p w14:paraId="3D3099C3"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(integer).</w:t>
      </w:r>
    </w:p>
    <w:p w14:paraId="0C87989F"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8F6C9E1"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Values (1, 2, 3…) indicate number of kids driving.</w:t>
      </w:r>
    </w:p>
    <w:p w14:paraId="3EAB8678"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More kids driving generally = higher accident probability.</w:t>
      </w:r>
    </w:p>
    <w:p w14:paraId="5552793E"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8021C95"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proofErr w:type="spellStart"/>
      <w:r w:rsidRPr="00E947F9">
        <w:rPr>
          <w:rFonts w:ascii="Times New Roman" w:hAnsi="Times New Roman" w:cs="Times New Roman"/>
          <w:sz w:val="24"/>
          <w:szCs w:val="24"/>
        </w:rPr>
        <w:t>Analyze</w:t>
      </w:r>
      <w:proofErr w:type="spellEnd"/>
      <w:r w:rsidRPr="00E947F9">
        <w:rPr>
          <w:rFonts w:ascii="Times New Roman" w:hAnsi="Times New Roman" w:cs="Times New Roman"/>
          <w:sz w:val="24"/>
          <w:szCs w:val="24"/>
        </w:rPr>
        <w:t xml:space="preserve"> claims by number of kids driving.</w:t>
      </w:r>
    </w:p>
    <w:p w14:paraId="640F70E5"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Group into categories (e.g., None, 1 Kid, 2 Kids, 3+ Kids).</w:t>
      </w:r>
    </w:p>
    <w:p w14:paraId="3F6AE931"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Helps insurers estimate family household risk.</w:t>
      </w:r>
    </w:p>
    <w:p w14:paraId="5BD132B8" w14:textId="77777777" w:rsidR="00B90E3A" w:rsidRPr="00E947F9" w:rsidRDefault="00B90E3A" w:rsidP="00E947F9">
      <w:pPr>
        <w:spacing w:after="0" w:line="360" w:lineRule="auto"/>
        <w:jc w:val="both"/>
        <w:rPr>
          <w:rFonts w:ascii="Times New Roman" w:hAnsi="Times New Roman" w:cs="Times New Roman"/>
          <w:sz w:val="24"/>
          <w:szCs w:val="24"/>
        </w:rPr>
      </w:pPr>
    </w:p>
    <w:sectPr w:rsidR="00B90E3A" w:rsidRPr="00E947F9" w:rsidSect="0010075B">
      <w:headerReference w:type="even" r:id="rId7"/>
      <w:headerReference w:type="default" r:id="rId8"/>
      <w:footerReference w:type="default" r:id="rId9"/>
      <w:headerReference w:type="first" r:id="rId10"/>
      <w:pgSz w:w="11906" w:h="16838"/>
      <w:pgMar w:top="1440" w:right="1440" w:bottom="1440" w:left="1440"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41E9C" w14:textId="77777777" w:rsidR="00941A68" w:rsidRDefault="00941A68" w:rsidP="0010075B">
      <w:pPr>
        <w:spacing w:after="0" w:line="240" w:lineRule="auto"/>
      </w:pPr>
      <w:r>
        <w:separator/>
      </w:r>
    </w:p>
  </w:endnote>
  <w:endnote w:type="continuationSeparator" w:id="0">
    <w:p w14:paraId="58FAA56C" w14:textId="77777777" w:rsidR="00941A68" w:rsidRDefault="00941A68" w:rsidP="0010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EE8EF" w14:textId="0FAA5AFA" w:rsidR="00B4530E" w:rsidRPr="00B4530E" w:rsidRDefault="00B4530E">
    <w:pPr>
      <w:pStyle w:val="Footer"/>
      <w:rPr>
        <w:b/>
        <w:bCs/>
        <w:i/>
        <w:iCs/>
        <w:color w:val="2E74B5" w:themeColor="accent5" w:themeShade="BF"/>
      </w:rPr>
    </w:pPr>
    <w:r w:rsidRPr="00FB0555">
      <w:rPr>
        <w:b/>
        <w:bCs/>
        <w:i/>
        <w:iCs/>
        <w:color w:val="00B050"/>
      </w:rPr>
      <w:t xml:space="preserve">Designed &amp; </w:t>
    </w:r>
    <w:r>
      <w:rPr>
        <w:b/>
        <w:bCs/>
        <w:i/>
        <w:iCs/>
        <w:color w:val="00B050"/>
      </w:rPr>
      <w:t>D</w:t>
    </w:r>
    <w:r w:rsidRPr="00FB0555">
      <w:rPr>
        <w:b/>
        <w:bCs/>
        <w:i/>
        <w:iCs/>
        <w:color w:val="00B050"/>
      </w:rPr>
      <w:t>eveloped</w:t>
    </w:r>
    <w:r w:rsidRPr="00FB0555">
      <w:rPr>
        <w:b/>
        <w:bCs/>
        <w:i/>
        <w:iCs/>
        <w:color w:val="00B050"/>
      </w:rPr>
      <w:t xml:space="preserve"> by – Swapnjeet S</w:t>
    </w:r>
    <w:r>
      <w:rPr>
        <w:b/>
        <w:bCs/>
        <w:i/>
        <w:iCs/>
        <w:color w:val="00B050"/>
      </w:rPr>
      <w:t xml:space="preserve">                                                     </w:t>
    </w:r>
    <w:r>
      <w:rPr>
        <w:b/>
        <w:bCs/>
        <w:i/>
        <w:iCs/>
        <w:color w:val="00B050"/>
      </w:rPr>
      <w:t xml:space="preserve">                </w:t>
    </w:r>
    <w:r>
      <w:rPr>
        <w:b/>
        <w:bCs/>
        <w:i/>
        <w:iCs/>
        <w:color w:val="00B050"/>
      </w:rPr>
      <w:t xml:space="preserve"> </w:t>
    </w:r>
    <w:r w:rsidRPr="00D94226">
      <w:rPr>
        <w:b/>
        <w:bCs/>
        <w:i/>
        <w:iCs/>
        <w:color w:val="2E74B5" w:themeColor="accent5" w:themeShade="BF"/>
      </w:rPr>
      <w:t xml:space="preserve">LinkedIn – </w:t>
    </w:r>
    <w:hyperlink r:id="rId1" w:history="1">
      <w:r w:rsidRPr="00D94226">
        <w:rPr>
          <w:rStyle w:val="Hyperlink"/>
          <w:b/>
          <w:bCs/>
          <w:i/>
          <w:iCs/>
          <w:color w:val="2E74B5" w:themeColor="accent5" w:themeShade="BF"/>
        </w:rPr>
        <w:t>click_here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E68E7" w14:textId="77777777" w:rsidR="00941A68" w:rsidRDefault="00941A68" w:rsidP="0010075B">
      <w:pPr>
        <w:spacing w:after="0" w:line="240" w:lineRule="auto"/>
      </w:pPr>
      <w:r>
        <w:separator/>
      </w:r>
    </w:p>
  </w:footnote>
  <w:footnote w:type="continuationSeparator" w:id="0">
    <w:p w14:paraId="5A4FF8DD" w14:textId="77777777" w:rsidR="00941A68" w:rsidRDefault="00941A68" w:rsidP="00100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BCEAB" w14:textId="4DFF3247" w:rsidR="0010075B" w:rsidRDefault="00000000">
    <w:pPr>
      <w:pStyle w:val="Header"/>
    </w:pPr>
    <w:r>
      <w:rPr>
        <w:noProof/>
      </w:rPr>
      <w:pict w14:anchorId="55558C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906235" o:spid="_x0000_s1026" type="#_x0000_t136" style="position:absolute;margin-left:0;margin-top:0;width:516.95pt;height:119.3pt;rotation:315;z-index:-251655168;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B0D7" w14:textId="5B70B489" w:rsidR="0010075B" w:rsidRPr="00B4530E" w:rsidRDefault="00B4530E">
    <w:pPr>
      <w:pStyle w:val="Header"/>
      <w:rPr>
        <w:b/>
        <w:bCs/>
        <w:i/>
        <w:iCs/>
        <w:color w:val="2F5496" w:themeColor="accent1" w:themeShade="BF"/>
        <w:sz w:val="20"/>
        <w:szCs w:val="20"/>
      </w:rPr>
    </w:pPr>
    <w:r w:rsidRPr="00FB0555">
      <w:rPr>
        <w:b/>
        <w:bCs/>
        <w:i/>
        <w:iCs/>
        <w:color w:val="2F5496" w:themeColor="accent1" w:themeShade="BF"/>
        <w:sz w:val="20"/>
        <w:szCs w:val="20"/>
      </w:rPr>
      <w:t xml:space="preserve">Data Tutorials - </w:t>
    </w:r>
    <w:hyperlink r:id="rId1" w:history="1">
      <w:r w:rsidRPr="00FB0555">
        <w:rPr>
          <w:rStyle w:val="Hyperlink"/>
          <w:b/>
          <w:bCs/>
          <w:i/>
          <w:iCs/>
          <w:color w:val="034990" w:themeColor="hyperlink" w:themeShade="BF"/>
          <w:sz w:val="20"/>
          <w:szCs w:val="20"/>
        </w:rPr>
        <w:t>https://www.youtube.com/@datatutorials1</w:t>
      </w:r>
    </w:hyperlink>
    <w:r w:rsidR="00000000">
      <w:rPr>
        <w:noProof/>
      </w:rPr>
      <w:pict w14:anchorId="312131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906236" o:spid="_x0000_s1027" type="#_x0000_t136" style="position:absolute;margin-left:0;margin-top:0;width:516.95pt;height:119.3pt;rotation:315;z-index:-251653120;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2C044" w14:textId="4F450979" w:rsidR="0010075B" w:rsidRDefault="00000000">
    <w:pPr>
      <w:pStyle w:val="Header"/>
    </w:pPr>
    <w:r>
      <w:rPr>
        <w:noProof/>
      </w:rPr>
      <w:pict w14:anchorId="29EEF5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906234" o:spid="_x0000_s1025" type="#_x0000_t136" style="position:absolute;margin-left:0;margin-top:0;width:516.95pt;height:119.3pt;rotation:315;z-index:-251657216;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B3D"/>
    <w:multiLevelType w:val="multilevel"/>
    <w:tmpl w:val="74CC3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623"/>
    <w:multiLevelType w:val="multilevel"/>
    <w:tmpl w:val="BEE2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23A6D"/>
    <w:multiLevelType w:val="multilevel"/>
    <w:tmpl w:val="70CCB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45C99"/>
    <w:multiLevelType w:val="multilevel"/>
    <w:tmpl w:val="49080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E0CC9"/>
    <w:multiLevelType w:val="multilevel"/>
    <w:tmpl w:val="56BCF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B30A3"/>
    <w:multiLevelType w:val="multilevel"/>
    <w:tmpl w:val="2E1A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65E0C"/>
    <w:multiLevelType w:val="multilevel"/>
    <w:tmpl w:val="6B28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81391"/>
    <w:multiLevelType w:val="multilevel"/>
    <w:tmpl w:val="8F48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302FD"/>
    <w:multiLevelType w:val="multilevel"/>
    <w:tmpl w:val="C4CA2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44322"/>
    <w:multiLevelType w:val="multilevel"/>
    <w:tmpl w:val="7158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E371E"/>
    <w:multiLevelType w:val="multilevel"/>
    <w:tmpl w:val="557C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F43ED"/>
    <w:multiLevelType w:val="multilevel"/>
    <w:tmpl w:val="51E2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5307B"/>
    <w:multiLevelType w:val="multilevel"/>
    <w:tmpl w:val="383A8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469B4"/>
    <w:multiLevelType w:val="multilevel"/>
    <w:tmpl w:val="C690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836AF"/>
    <w:multiLevelType w:val="multilevel"/>
    <w:tmpl w:val="3C98E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05384"/>
    <w:multiLevelType w:val="multilevel"/>
    <w:tmpl w:val="53F6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185138">
    <w:abstractNumId w:val="11"/>
  </w:num>
  <w:num w:numId="2" w16cid:durableId="363755803">
    <w:abstractNumId w:val="2"/>
  </w:num>
  <w:num w:numId="3" w16cid:durableId="1483039117">
    <w:abstractNumId w:val="15"/>
  </w:num>
  <w:num w:numId="4" w16cid:durableId="1400056038">
    <w:abstractNumId w:val="7"/>
  </w:num>
  <w:num w:numId="5" w16cid:durableId="934676942">
    <w:abstractNumId w:val="10"/>
  </w:num>
  <w:num w:numId="6" w16cid:durableId="1988394103">
    <w:abstractNumId w:val="12"/>
  </w:num>
  <w:num w:numId="7" w16cid:durableId="1744984183">
    <w:abstractNumId w:val="8"/>
  </w:num>
  <w:num w:numId="8" w16cid:durableId="1246458034">
    <w:abstractNumId w:val="3"/>
  </w:num>
  <w:num w:numId="9" w16cid:durableId="1359552324">
    <w:abstractNumId w:val="4"/>
  </w:num>
  <w:num w:numId="10" w16cid:durableId="631205980">
    <w:abstractNumId w:val="6"/>
  </w:num>
  <w:num w:numId="11" w16cid:durableId="1984308343">
    <w:abstractNumId w:val="13"/>
  </w:num>
  <w:num w:numId="12" w16cid:durableId="1164012840">
    <w:abstractNumId w:val="1"/>
  </w:num>
  <w:num w:numId="13" w16cid:durableId="502741637">
    <w:abstractNumId w:val="14"/>
  </w:num>
  <w:num w:numId="14" w16cid:durableId="1310478431">
    <w:abstractNumId w:val="9"/>
  </w:num>
  <w:num w:numId="15" w16cid:durableId="2085564759">
    <w:abstractNumId w:val="0"/>
  </w:num>
  <w:num w:numId="16" w16cid:durableId="638799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3B"/>
    <w:rsid w:val="000F7510"/>
    <w:rsid w:val="0010075B"/>
    <w:rsid w:val="001658B9"/>
    <w:rsid w:val="002766D8"/>
    <w:rsid w:val="002D42DB"/>
    <w:rsid w:val="004B4543"/>
    <w:rsid w:val="006D64F9"/>
    <w:rsid w:val="00703D2D"/>
    <w:rsid w:val="007F4544"/>
    <w:rsid w:val="0093533B"/>
    <w:rsid w:val="00941A68"/>
    <w:rsid w:val="00B4530E"/>
    <w:rsid w:val="00B90E3A"/>
    <w:rsid w:val="00CD3295"/>
    <w:rsid w:val="00DE29BA"/>
    <w:rsid w:val="00E947F9"/>
    <w:rsid w:val="00F25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F4EBF"/>
  <w15:chartTrackingRefBased/>
  <w15:docId w15:val="{A785EC9D-D1A0-4439-8CB3-0993F607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5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3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3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3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3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53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3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3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3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33B"/>
    <w:rPr>
      <w:rFonts w:eastAsiaTheme="majorEastAsia" w:cstheme="majorBidi"/>
      <w:color w:val="272727" w:themeColor="text1" w:themeTint="D8"/>
    </w:rPr>
  </w:style>
  <w:style w:type="paragraph" w:styleId="Title">
    <w:name w:val="Title"/>
    <w:basedOn w:val="Normal"/>
    <w:next w:val="Normal"/>
    <w:link w:val="TitleChar"/>
    <w:uiPriority w:val="10"/>
    <w:qFormat/>
    <w:rsid w:val="00935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33B"/>
    <w:pPr>
      <w:spacing w:before="160"/>
      <w:jc w:val="center"/>
    </w:pPr>
    <w:rPr>
      <w:i/>
      <w:iCs/>
      <w:color w:val="404040" w:themeColor="text1" w:themeTint="BF"/>
    </w:rPr>
  </w:style>
  <w:style w:type="character" w:customStyle="1" w:styleId="QuoteChar">
    <w:name w:val="Quote Char"/>
    <w:basedOn w:val="DefaultParagraphFont"/>
    <w:link w:val="Quote"/>
    <w:uiPriority w:val="29"/>
    <w:rsid w:val="0093533B"/>
    <w:rPr>
      <w:i/>
      <w:iCs/>
      <w:color w:val="404040" w:themeColor="text1" w:themeTint="BF"/>
    </w:rPr>
  </w:style>
  <w:style w:type="paragraph" w:styleId="ListParagraph">
    <w:name w:val="List Paragraph"/>
    <w:basedOn w:val="Normal"/>
    <w:uiPriority w:val="34"/>
    <w:qFormat/>
    <w:rsid w:val="0093533B"/>
    <w:pPr>
      <w:ind w:left="720"/>
      <w:contextualSpacing/>
    </w:pPr>
  </w:style>
  <w:style w:type="character" w:styleId="IntenseEmphasis">
    <w:name w:val="Intense Emphasis"/>
    <w:basedOn w:val="DefaultParagraphFont"/>
    <w:uiPriority w:val="21"/>
    <w:qFormat/>
    <w:rsid w:val="0093533B"/>
    <w:rPr>
      <w:i/>
      <w:iCs/>
      <w:color w:val="2F5496" w:themeColor="accent1" w:themeShade="BF"/>
    </w:rPr>
  </w:style>
  <w:style w:type="paragraph" w:styleId="IntenseQuote">
    <w:name w:val="Intense Quote"/>
    <w:basedOn w:val="Normal"/>
    <w:next w:val="Normal"/>
    <w:link w:val="IntenseQuoteChar"/>
    <w:uiPriority w:val="30"/>
    <w:qFormat/>
    <w:rsid w:val="00935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33B"/>
    <w:rPr>
      <w:i/>
      <w:iCs/>
      <w:color w:val="2F5496" w:themeColor="accent1" w:themeShade="BF"/>
    </w:rPr>
  </w:style>
  <w:style w:type="character" w:styleId="IntenseReference">
    <w:name w:val="Intense Reference"/>
    <w:basedOn w:val="DefaultParagraphFont"/>
    <w:uiPriority w:val="32"/>
    <w:qFormat/>
    <w:rsid w:val="0093533B"/>
    <w:rPr>
      <w:b/>
      <w:bCs/>
      <w:smallCaps/>
      <w:color w:val="2F5496" w:themeColor="accent1" w:themeShade="BF"/>
      <w:spacing w:val="5"/>
    </w:rPr>
  </w:style>
  <w:style w:type="paragraph" w:styleId="Header">
    <w:name w:val="header"/>
    <w:basedOn w:val="Normal"/>
    <w:link w:val="HeaderChar"/>
    <w:uiPriority w:val="99"/>
    <w:unhideWhenUsed/>
    <w:rsid w:val="00100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75B"/>
  </w:style>
  <w:style w:type="paragraph" w:styleId="Footer">
    <w:name w:val="footer"/>
    <w:basedOn w:val="Normal"/>
    <w:link w:val="FooterChar"/>
    <w:uiPriority w:val="99"/>
    <w:unhideWhenUsed/>
    <w:rsid w:val="00100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75B"/>
  </w:style>
  <w:style w:type="character" w:styleId="Hyperlink">
    <w:name w:val="Hyperlink"/>
    <w:basedOn w:val="DefaultParagraphFont"/>
    <w:uiPriority w:val="99"/>
    <w:unhideWhenUsed/>
    <w:rsid w:val="00B45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linkedin.com/in/datatutorial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youtube.com/@datatutorial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Swapnjeet S</cp:lastModifiedBy>
  <cp:revision>7</cp:revision>
  <dcterms:created xsi:type="dcterms:W3CDTF">2025-08-21T12:26:00Z</dcterms:created>
  <dcterms:modified xsi:type="dcterms:W3CDTF">2025-08-30T05:03:00Z</dcterms:modified>
</cp:coreProperties>
</file>