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A107" w14:textId="77777777" w:rsidR="00D77C5D" w:rsidRPr="00D77C5D" w:rsidRDefault="00D77C5D" w:rsidP="00D77C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36"/>
          <w:sz w:val="36"/>
          <w:szCs w:val="36"/>
          <w:lang w:eastAsia="en-IN"/>
          <w14:ligatures w14:val="none"/>
        </w:rPr>
        <w:t>AI-Powered Credit Risk Intelligence Dashboard</w:t>
      </w:r>
    </w:p>
    <w:p w14:paraId="174E875A" w14:textId="77777777" w:rsidR="00D77C5D" w:rsidRPr="00D77C5D" w:rsidRDefault="00D77C5D" w:rsidP="00D77C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en-IN"/>
          <w14:ligatures w14:val="none"/>
        </w:rPr>
        <w:t>Using Excel, Tableau &amp; Generative AI</w:t>
      </w:r>
    </w:p>
    <w:p w14:paraId="3AAB3A46" w14:textId="77777777" w:rsidR="00D77C5D" w:rsidRP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Submitted By: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Karan Singh Chauhan</w:t>
      </w:r>
    </w:p>
    <w:p w14:paraId="55E75A35" w14:textId="54C0FE21" w:rsidR="00D77C5D" w:rsidRP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Course: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 xml:space="preserve">BCA / MCA </w:t>
      </w:r>
    </w:p>
    <w:p w14:paraId="277C87BC" w14:textId="77777777" w:rsid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Tools Used: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Microsoft Excel, Tableau, Generative AI</w:t>
      </w:r>
    </w:p>
    <w:p w14:paraId="70BBF7B5" w14:textId="77777777" w:rsidR="00D77C5D" w:rsidRPr="00D77C5D" w:rsidRDefault="00D77C5D" w:rsidP="00D77C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Project Objective</w:t>
      </w:r>
    </w:p>
    <w:p w14:paraId="7FB0765A" w14:textId="21221769" w:rsidR="00D77C5D" w:rsidRP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objective of this project is to analyse customer credit risk and loan repayment behaviour using banking data. The project aims to identify high-risk customer profiles, understand financial patterns, analyse income and employment trends, and generate business recommendations using Artificial Intelligence (AI).</w:t>
      </w:r>
    </w:p>
    <w:p w14:paraId="2FB94877" w14:textId="77777777" w:rsid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project combines </w:t>
      </w: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Excel, Tableau, and Generative AI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transform raw banking data into meaningful business intelligence for decision-making.</w:t>
      </w:r>
    </w:p>
    <w:p w14:paraId="7537A59D" w14:textId="77777777" w:rsidR="00D77C5D" w:rsidRPr="00D77C5D" w:rsidRDefault="00D77C5D" w:rsidP="00D77C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Dataset Information</w:t>
      </w:r>
    </w:p>
    <w:p w14:paraId="1A797E42" w14:textId="222243E8" w:rsidR="00D77C5D" w:rsidRP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dataset used in this project is based on customer loan and credit behaviour from a banking environment. The dataset contains customer demographic, financial, employment, and loan-related information.</w:t>
      </w:r>
    </w:p>
    <w:p w14:paraId="41ED75BB" w14:textId="77777777" w:rsidR="00D77C5D" w:rsidRP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raw dataset consists of:</w:t>
      </w:r>
    </w:p>
    <w:p w14:paraId="4DCA52E9" w14:textId="77777777" w:rsidR="00D77C5D" w:rsidRPr="00D77C5D" w:rsidRDefault="00D77C5D" w:rsidP="00D7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307,511 rows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5DB9586" w14:textId="77777777" w:rsidR="00D77C5D" w:rsidRPr="00D77C5D" w:rsidRDefault="00D77C5D" w:rsidP="00D7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122 columns</w:t>
      </w: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4043090" w14:textId="77777777" w:rsid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77C5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For business analysis purposes, only the most relevant business variables were selected and transformed for analysis.</w:t>
      </w:r>
    </w:p>
    <w:p w14:paraId="1DBD2B26" w14:textId="77777777" w:rsid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6122CE9" w14:textId="77777777" w:rsidR="00D77C5D" w:rsidRDefault="00D77C5D" w:rsidP="00D77C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3E7D362" w14:textId="77777777" w:rsidR="00701AC1" w:rsidRPr="00701AC1" w:rsidRDefault="00701AC1" w:rsidP="00701A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701AC1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Data Preparation &amp; Feature Engineering</w:t>
      </w:r>
    </w:p>
    <w:p w14:paraId="49D6AF0F" w14:textId="77777777" w:rsidR="00701AC1" w:rsidRPr="00701AC1" w:rsidRDefault="00701AC1" w:rsidP="00701AC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01AC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During data preparation, anomalies were identified in employment duration data. Certain records contained unrealistic employment values (e.g., 1000+ years), which were identified as placeholder values for missing employment information. These were transformed into a business-friendly category (“No Employment”) to improve data quality and interpretation.</w:t>
      </w:r>
    </w:p>
    <w:p w14:paraId="27E051DF" w14:textId="77777777" w:rsidR="005A5B81" w:rsidRPr="005A5B81" w:rsidRDefault="005A5B81" w:rsidP="005A5B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5A5B81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Data Cleaning &amp; Transformation</w:t>
      </w:r>
    </w:p>
    <w:p w14:paraId="2FF00D2D" w14:textId="33879511" w:rsidR="005A5B81" w:rsidRPr="005A5B81" w:rsidRDefault="005A5B81" w:rsidP="005A5B8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A5B8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To improve interpretability and business understanding, customer risk and income segmentation variables were created. Customers were categorized into </w:t>
      </w:r>
      <w:r w:rsidRPr="005A5B8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High Risk</w:t>
      </w:r>
      <w:r w:rsidRPr="005A5B8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and </w:t>
      </w:r>
      <w:r w:rsidRPr="005A5B8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Low Risk</w:t>
      </w:r>
      <w:r w:rsidRPr="005A5B8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groups based on repayment behaviour. Additionally, customers were segmented into </w:t>
      </w:r>
      <w:r w:rsidRPr="005A5B8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income groups</w:t>
      </w:r>
      <w:r w:rsidRPr="005A5B8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enable financial profile analysis and risk comparison across economic categories.</w:t>
      </w:r>
    </w:p>
    <w:p w14:paraId="71BA86DE" w14:textId="77777777" w:rsidR="00A30A61" w:rsidRPr="00A30A61" w:rsidRDefault="00A30A61" w:rsidP="00A30A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30A61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Business Insight 1 — </w:t>
      </w:r>
      <w:r w:rsidRPr="00A30A61">
        <w:rPr>
          <w:rFonts w:eastAsia="Times New Roman" w:cstheme="minorHAnsi"/>
          <w:kern w:val="0"/>
          <w:sz w:val="36"/>
          <w:szCs w:val="36"/>
          <w:u w:val="single"/>
          <w:lang w:eastAsia="en-IN"/>
          <w14:ligatures w14:val="none"/>
        </w:rPr>
        <w:t>Customer Risk Distribution</w:t>
      </w:r>
    </w:p>
    <w:p w14:paraId="553B27C1" w14:textId="2ED7C077" w:rsidR="00D77C5D" w:rsidRPr="00D77C5D" w:rsidRDefault="00A30A61" w:rsidP="006763E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/>
        </w:rPr>
        <w:drawing>
          <wp:inline distT="0" distB="0" distL="0" distR="0" wp14:anchorId="25FF6D20" wp14:editId="5A00AABF">
            <wp:extent cx="2543175" cy="1114425"/>
            <wp:effectExtent l="0" t="0" r="9525" b="9525"/>
            <wp:docPr id="726654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4243" name="Picture 726654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4" cy="111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C77F" w14:textId="09E5C5FB" w:rsidR="00A30A61" w:rsidRPr="00A30A61" w:rsidRDefault="00A30A61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customer portfolio analysis revealed that the majority of banking customers belonged to the </w:t>
      </w: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Low-Risk category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, while a relatively smaller portion represented </w:t>
      </w: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High Risk customers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09961A2C" w14:textId="77777777" w:rsidR="00A30A61" w:rsidRPr="00A30A61" w:rsidRDefault="00A30A61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Out of </w:t>
      </w: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307,511 customers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, approximately:</w:t>
      </w:r>
    </w:p>
    <w:p w14:paraId="5E76C4F4" w14:textId="77777777" w:rsidR="00A30A61" w:rsidRPr="00A30A61" w:rsidRDefault="00A30A61" w:rsidP="00A3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282,686 customers (91.9%)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were categorized as </w:t>
      </w: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Low Risk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D6E9C9C" w14:textId="77777777" w:rsidR="00A30A61" w:rsidRPr="00A30A61" w:rsidRDefault="00A30A61" w:rsidP="00A3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24,825 customers (8.1%)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were categorized as </w:t>
      </w:r>
      <w:r w:rsidRPr="00A30A61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High Risk</w:t>
      </w: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77AC996" w14:textId="77777777" w:rsidR="00A30A61" w:rsidRDefault="00A30A61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30A6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indicates that the bank maintains a predominantly stable customer portfolio, while a smaller percentage of customers may require stricter credit monitoring and financial risk assessment.</w:t>
      </w:r>
    </w:p>
    <w:p w14:paraId="66E41299" w14:textId="77777777" w:rsidR="00A351D7" w:rsidRDefault="00A351D7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0753D39" w14:textId="77777777" w:rsidR="00A351D7" w:rsidRDefault="00A351D7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983F4FD" w14:textId="77777777" w:rsidR="00A351D7" w:rsidRDefault="00A351D7" w:rsidP="00A30A61">
      <w:pPr>
        <w:spacing w:before="100" w:beforeAutospacing="1" w:after="100" w:afterAutospacing="1" w:line="240" w:lineRule="auto"/>
      </w:pPr>
    </w:p>
    <w:p w14:paraId="6C959CDD" w14:textId="53A232AC" w:rsidR="00A351D7" w:rsidRPr="00A30A61" w:rsidRDefault="00A351D7" w:rsidP="00A30A6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A351D7">
        <w:rPr>
          <w:b/>
          <w:bCs/>
          <w:sz w:val="36"/>
          <w:szCs w:val="36"/>
        </w:rPr>
        <w:lastRenderedPageBreak/>
        <w:t>Business Insight 2</w:t>
      </w:r>
      <w:r w:rsidRPr="00A351D7">
        <w:rPr>
          <w:sz w:val="36"/>
          <w:szCs w:val="36"/>
        </w:rPr>
        <w:t xml:space="preserve"> — </w:t>
      </w:r>
      <w:r w:rsidR="00C27AD9" w:rsidRPr="00C27AD9">
        <w:rPr>
          <w:sz w:val="36"/>
          <w:szCs w:val="36"/>
          <w:u w:val="single"/>
        </w:rPr>
        <w:t>Financial Stability vs Default Risk</w:t>
      </w:r>
    </w:p>
    <w:p w14:paraId="77960805" w14:textId="3AE2EB42" w:rsidR="00A351D7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27AD9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52B0F294" wp14:editId="6956FD4B">
            <wp:extent cx="4944165" cy="1143160"/>
            <wp:effectExtent l="0" t="0" r="0" b="0"/>
            <wp:docPr id="17168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9814" w14:textId="77777777" w:rsidR="00C27AD9" w:rsidRPr="00C27AD9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27AD9">
        <w:rPr>
          <w:rFonts w:asciiTheme="minorHAnsi" w:hAnsiTheme="minorHAnsi" w:cstheme="minorHAnsi"/>
          <w:sz w:val="28"/>
          <w:szCs w:val="28"/>
        </w:rPr>
        <w:t xml:space="preserve">The analysis examined the relationship between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customer income levels and loan repayment risk</w:t>
      </w:r>
      <w:r w:rsidRPr="00C27AD9">
        <w:rPr>
          <w:rFonts w:asciiTheme="minorHAnsi" w:hAnsiTheme="minorHAnsi" w:cstheme="minorHAnsi"/>
          <w:sz w:val="28"/>
          <w:szCs w:val="28"/>
        </w:rPr>
        <w:t>. A comparison of default risk percentages revealed meaningful differences across financial segments.</w:t>
      </w:r>
    </w:p>
    <w:p w14:paraId="7C8B3391" w14:textId="650C8211" w:rsidR="00C27AD9" w:rsidRPr="00C27AD9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27AD9">
        <w:rPr>
          <w:rFonts w:asciiTheme="minorHAnsi" w:hAnsiTheme="minorHAnsi" w:cstheme="minorHAnsi"/>
          <w:sz w:val="28"/>
          <w:szCs w:val="28"/>
        </w:rPr>
        <w:t xml:space="preserve">Customers in the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Middle-Income category recorded the highest default risk (8.25%)</w:t>
      </w:r>
      <w:r w:rsidRPr="00C27AD9">
        <w:rPr>
          <w:rFonts w:asciiTheme="minorHAnsi" w:hAnsiTheme="minorHAnsi" w:cstheme="minorHAnsi"/>
          <w:sz w:val="28"/>
          <w:szCs w:val="28"/>
        </w:rPr>
        <w:t xml:space="preserve">, closely followed by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Low Income customers (8.20%)</w:t>
      </w:r>
      <w:r w:rsidRPr="00C27AD9">
        <w:rPr>
          <w:rFonts w:asciiTheme="minorHAnsi" w:hAnsiTheme="minorHAnsi" w:cstheme="minorHAnsi"/>
          <w:sz w:val="28"/>
          <w:szCs w:val="28"/>
        </w:rPr>
        <w:t xml:space="preserve">. In contrast,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High Income customers demonstrated significantly lower financial risk (5.95%)</w:t>
      </w:r>
      <w:r w:rsidRPr="00C27AD9">
        <w:rPr>
          <w:rFonts w:asciiTheme="minorHAnsi" w:hAnsiTheme="minorHAnsi" w:cstheme="minorHAnsi"/>
          <w:sz w:val="28"/>
          <w:szCs w:val="28"/>
        </w:rPr>
        <w:t>, indicating stronger repayment stability.</w:t>
      </w:r>
    </w:p>
    <w:p w14:paraId="03464EFF" w14:textId="77777777" w:rsidR="00C27AD9" w:rsidRPr="00C27AD9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27AD9">
        <w:rPr>
          <w:rFonts w:asciiTheme="minorHAnsi" w:hAnsiTheme="minorHAnsi" w:cstheme="minorHAnsi"/>
          <w:sz w:val="28"/>
          <w:szCs w:val="28"/>
        </w:rPr>
        <w:t xml:space="preserve">This suggests that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higher income levels may contribute to better financial resilience</w:t>
      </w:r>
      <w:r w:rsidRPr="00C27AD9">
        <w:rPr>
          <w:rFonts w:asciiTheme="minorHAnsi" w:hAnsiTheme="minorHAnsi" w:cstheme="minorHAnsi"/>
          <w:sz w:val="28"/>
          <w:szCs w:val="28"/>
        </w:rPr>
        <w:t>, while middle- and low-income borrowers may require stronger credit assessment and customized lending strategies.</w:t>
      </w:r>
    </w:p>
    <w:p w14:paraId="3B512FEE" w14:textId="77777777" w:rsidR="00C27AD9" w:rsidRPr="00C27AD9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27AD9">
        <w:rPr>
          <w:rFonts w:asciiTheme="minorHAnsi" w:hAnsiTheme="minorHAnsi" w:cstheme="minorHAnsi"/>
          <w:sz w:val="28"/>
          <w:szCs w:val="28"/>
        </w:rPr>
        <w:t xml:space="preserve">The findings highlight the importance of </w:t>
      </w:r>
      <w:r w:rsidRPr="00C27AD9">
        <w:rPr>
          <w:rStyle w:val="Strong"/>
          <w:rFonts w:asciiTheme="minorHAnsi" w:eastAsiaTheme="majorEastAsia" w:hAnsiTheme="minorHAnsi" w:cstheme="minorHAnsi"/>
          <w:sz w:val="28"/>
          <w:szCs w:val="28"/>
        </w:rPr>
        <w:t>income-based risk segmentation in banking decision-making</w:t>
      </w:r>
      <w:r w:rsidRPr="00C27AD9">
        <w:rPr>
          <w:rFonts w:asciiTheme="minorHAnsi" w:hAnsiTheme="minorHAnsi" w:cstheme="minorHAnsi"/>
          <w:sz w:val="28"/>
          <w:szCs w:val="28"/>
        </w:rPr>
        <w:t>.</w:t>
      </w:r>
    </w:p>
    <w:p w14:paraId="6F400AF2" w14:textId="77777777" w:rsidR="00C27AD9" w:rsidRPr="00A351D7" w:rsidRDefault="00C27AD9" w:rsidP="00C27AD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A40D74F" w14:textId="22EC6C56" w:rsidR="00D77C5D" w:rsidRPr="00C27AD9" w:rsidRDefault="00A351D7" w:rsidP="00D77C5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A351D7">
        <w:rPr>
          <w:b/>
          <w:bCs/>
          <w:sz w:val="36"/>
          <w:szCs w:val="36"/>
        </w:rPr>
        <w:t>Business Insight</w:t>
      </w:r>
      <w:r>
        <w:rPr>
          <w:b/>
          <w:bCs/>
          <w:sz w:val="36"/>
          <w:szCs w:val="36"/>
        </w:rPr>
        <w:t xml:space="preserve"> 3</w:t>
      </w:r>
      <w:r w:rsidRPr="00A351D7">
        <w:rPr>
          <w:sz w:val="36"/>
          <w:szCs w:val="36"/>
        </w:rPr>
        <w:t xml:space="preserve">— </w:t>
      </w:r>
      <w:r w:rsidR="00C27AD9" w:rsidRPr="00C27AD9">
        <w:rPr>
          <w:b/>
          <w:bCs/>
          <w:sz w:val="36"/>
          <w:szCs w:val="36"/>
          <w:u w:val="single"/>
        </w:rPr>
        <w:t>Education &amp; Repayment Reliability</w:t>
      </w:r>
    </w:p>
    <w:p w14:paraId="5427D3A2" w14:textId="63860830" w:rsidR="00277BA4" w:rsidRDefault="00C27AD9" w:rsidP="00A351D7">
      <w:pPr>
        <w:rPr>
          <w:noProof/>
        </w:rPr>
      </w:pPr>
      <w:r>
        <w:rPr>
          <w:noProof/>
        </w:rPr>
        <w:drawing>
          <wp:inline distT="0" distB="0" distL="0" distR="0" wp14:anchorId="27F50DE1" wp14:editId="665DABF8">
            <wp:extent cx="4991797" cy="1552792"/>
            <wp:effectExtent l="0" t="0" r="0" b="9525"/>
            <wp:docPr id="1691167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7391" name="Picture 1691167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AE7" w14:textId="77777777" w:rsidR="00C27AD9" w:rsidRPr="00C27AD9" w:rsidRDefault="00C27AD9" w:rsidP="00C27AD9">
      <w:pPr>
        <w:rPr>
          <w:noProof/>
          <w:sz w:val="28"/>
          <w:szCs w:val="28"/>
        </w:rPr>
      </w:pPr>
      <w:r w:rsidRPr="00C27AD9">
        <w:rPr>
          <w:noProof/>
          <w:sz w:val="28"/>
          <w:szCs w:val="28"/>
        </w:rPr>
        <w:t>The analysis revealed a strong relationship between customer education level and loan repayment reliability. Customers with higher educational qualifications demonstrated significantly lower default risk, while lower educational categories showed comparatively higher financial vulnerability.</w:t>
      </w:r>
    </w:p>
    <w:p w14:paraId="0F959874" w14:textId="77777777" w:rsidR="00C27AD9" w:rsidRDefault="00C27AD9" w:rsidP="00C27AD9">
      <w:pPr>
        <w:rPr>
          <w:noProof/>
        </w:rPr>
      </w:pPr>
    </w:p>
    <w:p w14:paraId="00DF8375" w14:textId="261F303D" w:rsidR="00C27AD9" w:rsidRPr="00C27AD9" w:rsidRDefault="00C27AD9" w:rsidP="00C27AD9">
      <w:pPr>
        <w:rPr>
          <w:noProof/>
          <w:sz w:val="28"/>
          <w:szCs w:val="28"/>
        </w:rPr>
      </w:pPr>
      <w:r w:rsidRPr="00C27AD9">
        <w:rPr>
          <w:noProof/>
          <w:sz w:val="28"/>
          <w:szCs w:val="28"/>
        </w:rPr>
        <w:lastRenderedPageBreak/>
        <w:t>Customers with an Academic Degree recorded the lowest risk rate (1.83%), followed by customers with Higher Education (5.36%). In contrast, customers belonging to Lower Secondary education showed the highest default probability (10.93%), while Secondary / Secondary Special customers recorded a risk rate of 8.94%.</w:t>
      </w:r>
    </w:p>
    <w:p w14:paraId="5EF45D95" w14:textId="158A519B" w:rsidR="00C27AD9" w:rsidRPr="00C27AD9" w:rsidRDefault="00C27AD9" w:rsidP="00C27AD9">
      <w:pPr>
        <w:rPr>
          <w:noProof/>
          <w:sz w:val="28"/>
          <w:szCs w:val="28"/>
        </w:rPr>
      </w:pPr>
      <w:r w:rsidRPr="00C27AD9">
        <w:rPr>
          <w:noProof/>
          <w:sz w:val="28"/>
          <w:szCs w:val="28"/>
        </w:rPr>
        <w:t>The findings suggest that education level may influence financial discipline, income stability, and repayment behavior, making it an important variable in customer credit risk assessment.</w:t>
      </w:r>
    </w:p>
    <w:p w14:paraId="054F4A09" w14:textId="5FB71580" w:rsidR="00A351D7" w:rsidRPr="00C27AD9" w:rsidRDefault="00C27AD9" w:rsidP="00C27AD9">
      <w:pPr>
        <w:rPr>
          <w:noProof/>
          <w:sz w:val="28"/>
          <w:szCs w:val="28"/>
        </w:rPr>
      </w:pPr>
      <w:r w:rsidRPr="00C27AD9">
        <w:rPr>
          <w:noProof/>
          <w:sz w:val="28"/>
          <w:szCs w:val="28"/>
        </w:rPr>
        <w:t>Banks may benefit from incorporating education-based customer profiling into lending strategies and financial risk evaluation models.</w:t>
      </w:r>
    </w:p>
    <w:p w14:paraId="7230AD10" w14:textId="4F48FBE9" w:rsidR="00A351D7" w:rsidRDefault="00A351D7" w:rsidP="00A351D7">
      <w:pPr>
        <w:rPr>
          <w:b/>
          <w:bCs/>
          <w:sz w:val="36"/>
          <w:szCs w:val="36"/>
        </w:rPr>
      </w:pPr>
      <w:r w:rsidRPr="00A351D7">
        <w:rPr>
          <w:b/>
          <w:bCs/>
          <w:sz w:val="36"/>
          <w:szCs w:val="36"/>
        </w:rPr>
        <w:t>Business Insight 4</w:t>
      </w:r>
      <w:r w:rsidRPr="00A351D7">
        <w:rPr>
          <w:sz w:val="36"/>
          <w:szCs w:val="36"/>
        </w:rPr>
        <w:t xml:space="preserve"> — </w:t>
      </w:r>
      <w:r w:rsidR="001D14E0" w:rsidRPr="001D14E0">
        <w:rPr>
          <w:sz w:val="36"/>
          <w:szCs w:val="36"/>
          <w:u w:val="single"/>
        </w:rPr>
        <w:t>Occupation-Based Credit Risk Analysis</w:t>
      </w:r>
    </w:p>
    <w:p w14:paraId="58EDDD74" w14:textId="3B78092F" w:rsidR="00A351D7" w:rsidRDefault="001D14E0" w:rsidP="00A351D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A26D6F" wp14:editId="5D30FD73">
            <wp:extent cx="4467225" cy="3952875"/>
            <wp:effectExtent l="0" t="0" r="9525" b="9525"/>
            <wp:docPr id="77302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2277" name="Picture 773022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EA8C" w14:textId="3D5BF3C1" w:rsidR="001D14E0" w:rsidRPr="001D14E0" w:rsidRDefault="001D14E0" w:rsidP="001D14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D14E0">
        <w:rPr>
          <w:rFonts w:asciiTheme="minorHAnsi" w:hAnsiTheme="minorHAnsi" w:cstheme="minorHAnsi"/>
          <w:sz w:val="28"/>
          <w:szCs w:val="28"/>
        </w:rPr>
        <w:t xml:space="preserve">The analysis revealed significant differences in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loan repayment risk across occupational categories</w:t>
      </w:r>
      <w:r w:rsidRPr="001D14E0">
        <w:rPr>
          <w:rFonts w:asciiTheme="minorHAnsi" w:hAnsiTheme="minorHAnsi" w:cstheme="minorHAnsi"/>
          <w:sz w:val="28"/>
          <w:szCs w:val="28"/>
        </w:rPr>
        <w:t>, indicating that customer profession may strongly influence financial stability and repayment behaviour.</w:t>
      </w:r>
    </w:p>
    <w:p w14:paraId="61B7CE01" w14:textId="77777777" w:rsidR="001D14E0" w:rsidRPr="001D14E0" w:rsidRDefault="001D14E0" w:rsidP="001D14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D14E0">
        <w:rPr>
          <w:rFonts w:asciiTheme="minorHAnsi" w:hAnsiTheme="minorHAnsi" w:cstheme="minorHAnsi"/>
          <w:sz w:val="28"/>
          <w:szCs w:val="28"/>
        </w:rPr>
        <w:t xml:space="preserve">Customers working in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low-skill occupations demonstrated the highest financial risk</w:t>
      </w:r>
      <w:r w:rsidRPr="001D14E0">
        <w:rPr>
          <w:rFonts w:asciiTheme="minorHAnsi" w:hAnsiTheme="minorHAnsi" w:cstheme="minorHAnsi"/>
          <w:sz w:val="28"/>
          <w:szCs w:val="28"/>
        </w:rPr>
        <w:t xml:space="preserve">, with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Low-Skill Laborers recording the highest default rate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lastRenderedPageBreak/>
        <w:t>(17.15%)</w:t>
      </w:r>
      <w:r w:rsidRPr="001D14E0">
        <w:rPr>
          <w:rFonts w:asciiTheme="minorHAnsi" w:hAnsiTheme="minorHAnsi" w:cstheme="minorHAnsi"/>
          <w:sz w:val="28"/>
          <w:szCs w:val="28"/>
        </w:rPr>
        <w:t xml:space="preserve">, followed by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Drivers (11.33%)</w:t>
      </w:r>
      <w:r w:rsidRPr="001D14E0">
        <w:rPr>
          <w:rFonts w:asciiTheme="minorHAnsi" w:hAnsiTheme="minorHAnsi" w:cstheme="minorHAnsi"/>
          <w:sz w:val="28"/>
          <w:szCs w:val="28"/>
        </w:rPr>
        <w:t xml:space="preserve">,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Waiters/Barmen Staff (11.28%)</w:t>
      </w:r>
      <w:r w:rsidRPr="001D14E0">
        <w:rPr>
          <w:rFonts w:asciiTheme="minorHAnsi" w:hAnsiTheme="minorHAnsi" w:cstheme="minorHAnsi"/>
          <w:sz w:val="28"/>
          <w:szCs w:val="28"/>
        </w:rPr>
        <w:t xml:space="preserve">, and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Security Staff (10.74%)</w:t>
      </w:r>
      <w:r w:rsidRPr="001D14E0">
        <w:rPr>
          <w:rFonts w:asciiTheme="minorHAnsi" w:hAnsiTheme="minorHAnsi" w:cstheme="minorHAnsi"/>
          <w:sz w:val="28"/>
          <w:szCs w:val="28"/>
        </w:rPr>
        <w:t>.</w:t>
      </w:r>
    </w:p>
    <w:p w14:paraId="6366F1B3" w14:textId="77777777" w:rsidR="001D14E0" w:rsidRPr="001D14E0" w:rsidRDefault="001D14E0" w:rsidP="001D14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D14E0">
        <w:rPr>
          <w:rFonts w:asciiTheme="minorHAnsi" w:hAnsiTheme="minorHAnsi" w:cstheme="minorHAnsi"/>
          <w:sz w:val="28"/>
          <w:szCs w:val="28"/>
        </w:rPr>
        <w:t xml:space="preserve">In contrast, customers employed in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professional and managerial occupations showed comparatively lower financial risk</w:t>
      </w:r>
      <w:r w:rsidRPr="001D14E0">
        <w:rPr>
          <w:rFonts w:asciiTheme="minorHAnsi" w:hAnsiTheme="minorHAnsi" w:cstheme="minorHAnsi"/>
          <w:sz w:val="28"/>
          <w:szCs w:val="28"/>
        </w:rPr>
        <w:t xml:space="preserve">.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Accountants recorded the lowest default rate (4.83%)</w:t>
      </w:r>
      <w:r w:rsidRPr="001D14E0">
        <w:rPr>
          <w:rFonts w:asciiTheme="minorHAnsi" w:hAnsiTheme="minorHAnsi" w:cstheme="minorHAnsi"/>
          <w:sz w:val="28"/>
          <w:szCs w:val="28"/>
        </w:rPr>
        <w:t xml:space="preserve">, followed by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High Skilled Tech Staff (6.16%)</w:t>
      </w:r>
      <w:r w:rsidRPr="001D14E0">
        <w:rPr>
          <w:rFonts w:asciiTheme="minorHAnsi" w:hAnsiTheme="minorHAnsi" w:cstheme="minorHAnsi"/>
          <w:sz w:val="28"/>
          <w:szCs w:val="28"/>
        </w:rPr>
        <w:t xml:space="preserve"> and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Managers (6.21%)</w:t>
      </w:r>
      <w:r w:rsidRPr="001D14E0">
        <w:rPr>
          <w:rFonts w:asciiTheme="minorHAnsi" w:hAnsiTheme="minorHAnsi" w:cstheme="minorHAnsi"/>
          <w:sz w:val="28"/>
          <w:szCs w:val="28"/>
        </w:rPr>
        <w:t>.</w:t>
      </w:r>
    </w:p>
    <w:p w14:paraId="7F534B19" w14:textId="77777777" w:rsidR="001D14E0" w:rsidRDefault="001D14E0" w:rsidP="001D14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D14E0">
        <w:rPr>
          <w:rFonts w:asciiTheme="minorHAnsi" w:hAnsiTheme="minorHAnsi" w:cstheme="minorHAnsi"/>
          <w:sz w:val="28"/>
          <w:szCs w:val="28"/>
        </w:rPr>
        <w:t xml:space="preserve">The findings suggest that </w:t>
      </w:r>
      <w:r w:rsidRPr="001D14E0">
        <w:rPr>
          <w:rStyle w:val="Strong"/>
          <w:rFonts w:asciiTheme="minorHAnsi" w:eastAsiaTheme="majorEastAsia" w:hAnsiTheme="minorHAnsi" w:cstheme="minorHAnsi"/>
          <w:sz w:val="28"/>
          <w:szCs w:val="28"/>
        </w:rPr>
        <w:t>occupation type may serve as an important indicator of customer repayment reliability</w:t>
      </w:r>
      <w:r w:rsidRPr="001D14E0">
        <w:rPr>
          <w:rFonts w:asciiTheme="minorHAnsi" w:hAnsiTheme="minorHAnsi" w:cstheme="minorHAnsi"/>
          <w:sz w:val="28"/>
          <w:szCs w:val="28"/>
        </w:rPr>
        <w:t>, enabling banks to improve credit assessment and develop more personalized lending strategies.</w:t>
      </w:r>
    </w:p>
    <w:p w14:paraId="76B7AB1A" w14:textId="77777777" w:rsidR="002F5265" w:rsidRPr="001D14E0" w:rsidRDefault="002F5265" w:rsidP="001D14E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523141D" w14:textId="07A1A3B7" w:rsidR="00A351D7" w:rsidRDefault="001D14E0" w:rsidP="00A351D7">
      <w:pPr>
        <w:rPr>
          <w:b/>
          <w:bCs/>
          <w:sz w:val="36"/>
          <w:szCs w:val="36"/>
        </w:rPr>
      </w:pPr>
      <w:r w:rsidRPr="001D14E0">
        <w:rPr>
          <w:b/>
          <w:bCs/>
          <w:sz w:val="36"/>
          <w:szCs w:val="36"/>
        </w:rPr>
        <w:t>Business Insight 5 —</w:t>
      </w:r>
      <w:r w:rsidRPr="001D14E0">
        <w:rPr>
          <w:sz w:val="36"/>
          <w:szCs w:val="36"/>
        </w:rPr>
        <w:t xml:space="preserve"> </w:t>
      </w:r>
      <w:r w:rsidRPr="001D14E0">
        <w:rPr>
          <w:sz w:val="36"/>
          <w:szCs w:val="36"/>
          <w:u w:val="single"/>
        </w:rPr>
        <w:t>Asset Ownership &amp; Financial Stability</w:t>
      </w:r>
    </w:p>
    <w:p w14:paraId="44CCF178" w14:textId="0F00C8BD" w:rsidR="001D14E0" w:rsidRDefault="001D14E0" w:rsidP="001D14E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398BF53" wp14:editId="22DDA87D">
            <wp:extent cx="4438649" cy="914400"/>
            <wp:effectExtent l="0" t="0" r="635" b="0"/>
            <wp:docPr id="1856159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9596" name="Picture 1856159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56" cy="9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2C21BC60" wp14:editId="205D80D0">
            <wp:extent cx="4477375" cy="952633"/>
            <wp:effectExtent l="0" t="0" r="0" b="0"/>
            <wp:docPr id="1709773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3811" name="Picture 17097738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6444" w14:textId="32DD9A7C" w:rsidR="004316BE" w:rsidRPr="004316BE" w:rsidRDefault="004316BE" w:rsidP="004316B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16BE">
        <w:rPr>
          <w:rFonts w:asciiTheme="minorHAnsi" w:hAnsiTheme="minorHAnsi" w:cstheme="minorHAnsi"/>
          <w:sz w:val="28"/>
          <w:szCs w:val="28"/>
        </w:rPr>
        <w:t xml:space="preserve">The analysis explored whether 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asset ownership influences customer financial stability and repayment behaviour</w:t>
      </w:r>
      <w:r w:rsidRPr="004316BE">
        <w:rPr>
          <w:rFonts w:asciiTheme="minorHAnsi" w:hAnsiTheme="minorHAnsi" w:cstheme="minorHAnsi"/>
          <w:sz w:val="28"/>
          <w:szCs w:val="28"/>
        </w:rPr>
        <w:t>. The findings revealed that customers owning financial assets demonstrated comparatively lower default risk.</w:t>
      </w:r>
    </w:p>
    <w:p w14:paraId="7E303960" w14:textId="77777777" w:rsidR="004316BE" w:rsidRPr="004316BE" w:rsidRDefault="004316BE" w:rsidP="004316B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16BE">
        <w:rPr>
          <w:rFonts w:asciiTheme="minorHAnsi" w:hAnsiTheme="minorHAnsi" w:cstheme="minorHAnsi"/>
          <w:sz w:val="28"/>
          <w:szCs w:val="28"/>
        </w:rPr>
        <w:t xml:space="preserve">Customers who 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owned property recorded a lower default probability (7.96%)</w:t>
      </w:r>
      <w:r w:rsidRPr="004316BE">
        <w:rPr>
          <w:rFonts w:asciiTheme="minorHAnsi" w:hAnsiTheme="minorHAnsi" w:cstheme="minorHAnsi"/>
          <w:sz w:val="28"/>
          <w:szCs w:val="28"/>
        </w:rPr>
        <w:t xml:space="preserve"> compared to customers without property ownership (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8.32%</w:t>
      </w:r>
      <w:r w:rsidRPr="004316BE">
        <w:rPr>
          <w:rFonts w:asciiTheme="minorHAnsi" w:hAnsiTheme="minorHAnsi" w:cstheme="minorHAnsi"/>
          <w:sz w:val="28"/>
          <w:szCs w:val="28"/>
        </w:rPr>
        <w:t xml:space="preserve">). Similarly, customers who 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owned a car showed a significantly lower risk rate (7.24%)</w:t>
      </w:r>
      <w:r w:rsidRPr="004316BE">
        <w:rPr>
          <w:rFonts w:asciiTheme="minorHAnsi" w:hAnsiTheme="minorHAnsi" w:cstheme="minorHAnsi"/>
          <w:sz w:val="28"/>
          <w:szCs w:val="28"/>
        </w:rPr>
        <w:t>, while customers without a car recorded a higher default probability (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8.50%</w:t>
      </w:r>
      <w:r w:rsidRPr="004316BE">
        <w:rPr>
          <w:rFonts w:asciiTheme="minorHAnsi" w:hAnsiTheme="minorHAnsi" w:cstheme="minorHAnsi"/>
          <w:sz w:val="28"/>
          <w:szCs w:val="28"/>
        </w:rPr>
        <w:t>).</w:t>
      </w:r>
    </w:p>
    <w:p w14:paraId="1B160C51" w14:textId="77777777" w:rsidR="004316BE" w:rsidRPr="004316BE" w:rsidRDefault="004316BE" w:rsidP="004316B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16BE">
        <w:rPr>
          <w:rFonts w:asciiTheme="minorHAnsi" w:hAnsiTheme="minorHAnsi" w:cstheme="minorHAnsi"/>
          <w:sz w:val="28"/>
          <w:szCs w:val="28"/>
        </w:rPr>
        <w:t xml:space="preserve">These findings suggest that 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asset ownership may act as an indicator of financial security and repayment capability</w:t>
      </w:r>
      <w:r w:rsidRPr="004316BE">
        <w:rPr>
          <w:rFonts w:asciiTheme="minorHAnsi" w:hAnsiTheme="minorHAnsi" w:cstheme="minorHAnsi"/>
          <w:sz w:val="28"/>
          <w:szCs w:val="28"/>
        </w:rPr>
        <w:t>, making it a valuable factor in customer credit risk assessment.</w:t>
      </w:r>
    </w:p>
    <w:p w14:paraId="37E33D64" w14:textId="77777777" w:rsidR="004316BE" w:rsidRDefault="004316BE" w:rsidP="004316B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16BE">
        <w:rPr>
          <w:rFonts w:asciiTheme="minorHAnsi" w:hAnsiTheme="minorHAnsi" w:cstheme="minorHAnsi"/>
          <w:sz w:val="28"/>
          <w:szCs w:val="28"/>
        </w:rPr>
        <w:t xml:space="preserve">The results indicate that banks may benefit from incorporating </w:t>
      </w:r>
      <w:r w:rsidRPr="004316BE">
        <w:rPr>
          <w:rStyle w:val="Strong"/>
          <w:rFonts w:asciiTheme="minorHAnsi" w:eastAsiaTheme="majorEastAsia" w:hAnsiTheme="minorHAnsi" w:cstheme="minorHAnsi"/>
          <w:sz w:val="28"/>
          <w:szCs w:val="28"/>
        </w:rPr>
        <w:t>asset ownership indicators into loan approval and customer risk evaluation strategies</w:t>
      </w:r>
      <w:r w:rsidRPr="004316BE">
        <w:rPr>
          <w:rFonts w:asciiTheme="minorHAnsi" w:hAnsiTheme="minorHAnsi" w:cstheme="minorHAnsi"/>
          <w:sz w:val="28"/>
          <w:szCs w:val="28"/>
        </w:rPr>
        <w:t>.</w:t>
      </w:r>
    </w:p>
    <w:p w14:paraId="5317715C" w14:textId="77777777" w:rsidR="005125BA" w:rsidRPr="004316BE" w:rsidRDefault="005125BA" w:rsidP="004316B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26AB42D" w14:textId="59D1F08D" w:rsidR="004316BE" w:rsidRDefault="005125BA" w:rsidP="004316BE">
      <w:pPr>
        <w:rPr>
          <w:b/>
          <w:bCs/>
          <w:sz w:val="36"/>
          <w:szCs w:val="36"/>
        </w:rPr>
      </w:pPr>
      <w:r w:rsidRPr="005125BA">
        <w:rPr>
          <w:b/>
          <w:bCs/>
          <w:sz w:val="36"/>
          <w:szCs w:val="36"/>
        </w:rPr>
        <w:t>Business Insight 6</w:t>
      </w:r>
      <w:r w:rsidRPr="005125BA">
        <w:rPr>
          <w:sz w:val="36"/>
          <w:szCs w:val="36"/>
        </w:rPr>
        <w:t xml:space="preserve"> — </w:t>
      </w:r>
      <w:r w:rsidRPr="005125BA">
        <w:rPr>
          <w:sz w:val="36"/>
          <w:szCs w:val="36"/>
          <w:u w:val="single"/>
        </w:rPr>
        <w:t>Employment Stability &amp; Default Risk</w:t>
      </w:r>
    </w:p>
    <w:p w14:paraId="69ABA898" w14:textId="4CB0FAD8" w:rsidR="005125BA" w:rsidRDefault="005125BA" w:rsidP="005125B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93FE05" wp14:editId="4358C5E4">
            <wp:extent cx="4353533" cy="1362265"/>
            <wp:effectExtent l="0" t="0" r="9525" b="9525"/>
            <wp:docPr id="96347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085" name="Picture 963470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4DD0" w14:textId="55A523B0" w:rsidR="005125BA" w:rsidRPr="005125BA" w:rsidRDefault="005125BA" w:rsidP="005125B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25BA">
        <w:rPr>
          <w:rFonts w:asciiTheme="minorHAnsi" w:hAnsiTheme="minorHAnsi" w:cstheme="minorHAnsi"/>
          <w:sz w:val="28"/>
          <w:szCs w:val="28"/>
        </w:rPr>
        <w:t xml:space="preserve">The analysis examined the relationship between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employment</w:t>
      </w:r>
      <w:r>
        <w:rPr>
          <w:rStyle w:val="Strong"/>
          <w:rFonts w:eastAsiaTheme="majorEastAsia"/>
        </w:rPr>
        <w:t xml:space="preserve"> stability and customer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repayment behaviour</w:t>
      </w:r>
      <w:r w:rsidRPr="005125BA">
        <w:rPr>
          <w:rFonts w:asciiTheme="minorHAnsi" w:hAnsiTheme="minorHAnsi" w:cstheme="minorHAnsi"/>
          <w:sz w:val="28"/>
          <w:szCs w:val="28"/>
        </w:rPr>
        <w:t>. The findings revealed a strong relationship between work experience and financial risk.</w:t>
      </w:r>
    </w:p>
    <w:p w14:paraId="3278EEE4" w14:textId="77777777" w:rsidR="005125BA" w:rsidRPr="005125BA" w:rsidRDefault="005125BA" w:rsidP="005125B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25BA">
        <w:rPr>
          <w:rFonts w:asciiTheme="minorHAnsi" w:hAnsiTheme="minorHAnsi" w:cstheme="minorHAnsi"/>
          <w:sz w:val="28"/>
          <w:szCs w:val="28"/>
        </w:rPr>
        <w:t xml:space="preserve">Customers with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Low Employment Experience recorded the highest default probability (11.18%)</w:t>
      </w:r>
      <w:r w:rsidRPr="005125BA">
        <w:rPr>
          <w:rFonts w:asciiTheme="minorHAnsi" w:hAnsiTheme="minorHAnsi" w:cstheme="minorHAnsi"/>
          <w:sz w:val="28"/>
          <w:szCs w:val="28"/>
        </w:rPr>
        <w:t xml:space="preserve">, indicating greater financial instability and repayment vulnerability. In contrast,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Highly Experienced customers demonstrated the lowest financial risk (5.26%)</w:t>
      </w:r>
      <w:r w:rsidRPr="005125BA">
        <w:rPr>
          <w:rFonts w:asciiTheme="minorHAnsi" w:hAnsiTheme="minorHAnsi" w:cstheme="minorHAnsi"/>
          <w:sz w:val="28"/>
          <w:szCs w:val="28"/>
        </w:rPr>
        <w:t>, suggesting stronger repayment reliability and economic stability.</w:t>
      </w:r>
    </w:p>
    <w:p w14:paraId="647181DC" w14:textId="77777777" w:rsidR="005125BA" w:rsidRPr="005125BA" w:rsidRDefault="005125BA" w:rsidP="005125B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25BA">
        <w:rPr>
          <w:rFonts w:asciiTheme="minorHAnsi" w:hAnsiTheme="minorHAnsi" w:cstheme="minorHAnsi"/>
          <w:sz w:val="28"/>
          <w:szCs w:val="28"/>
        </w:rPr>
        <w:t xml:space="preserve">Interestingly, customers categorized under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No Employment recorded a comparatively lower default rate (5.40%)</w:t>
      </w:r>
      <w:r w:rsidRPr="005125BA">
        <w:rPr>
          <w:rFonts w:asciiTheme="minorHAnsi" w:hAnsiTheme="minorHAnsi" w:cstheme="minorHAnsi"/>
          <w:sz w:val="28"/>
          <w:szCs w:val="28"/>
        </w:rPr>
        <w:t>, which may indicate the presence of financially supported applicants such as homemakers, retirees, or dependent family members.</w:t>
      </w:r>
    </w:p>
    <w:p w14:paraId="718FB760" w14:textId="77777777" w:rsidR="005125BA" w:rsidRDefault="005125BA" w:rsidP="005125B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25BA">
        <w:rPr>
          <w:rFonts w:asciiTheme="minorHAnsi" w:hAnsiTheme="minorHAnsi" w:cstheme="minorHAnsi"/>
          <w:sz w:val="28"/>
          <w:szCs w:val="28"/>
        </w:rPr>
        <w:t xml:space="preserve">These findings suggest that </w:t>
      </w:r>
      <w:r w:rsidRPr="005125BA">
        <w:rPr>
          <w:rStyle w:val="Strong"/>
          <w:rFonts w:asciiTheme="minorHAnsi" w:eastAsiaTheme="majorEastAsia" w:hAnsiTheme="minorHAnsi" w:cstheme="minorHAnsi"/>
          <w:sz w:val="28"/>
          <w:szCs w:val="28"/>
        </w:rPr>
        <w:t>employment stability plays an important role in customer creditworthiness</w:t>
      </w:r>
      <w:r w:rsidRPr="005125BA">
        <w:rPr>
          <w:rFonts w:asciiTheme="minorHAnsi" w:hAnsiTheme="minorHAnsi" w:cstheme="minorHAnsi"/>
          <w:sz w:val="28"/>
          <w:szCs w:val="28"/>
        </w:rPr>
        <w:t>, making it a valuable indicator in banking risk assessment and lending decisions.</w:t>
      </w:r>
    </w:p>
    <w:p w14:paraId="4660A539" w14:textId="77777777" w:rsidR="009E1525" w:rsidRDefault="009E1525" w:rsidP="005125BA">
      <w:pPr>
        <w:rPr>
          <w:b/>
          <w:bCs/>
          <w:sz w:val="36"/>
          <w:szCs w:val="36"/>
        </w:rPr>
      </w:pPr>
    </w:p>
    <w:p w14:paraId="54E7B3BD" w14:textId="77777777" w:rsidR="009E1525" w:rsidRDefault="009E1525" w:rsidP="005125BA">
      <w:pPr>
        <w:rPr>
          <w:b/>
          <w:bCs/>
          <w:sz w:val="36"/>
          <w:szCs w:val="36"/>
        </w:rPr>
      </w:pPr>
    </w:p>
    <w:p w14:paraId="5C843D9A" w14:textId="77777777" w:rsidR="009E1525" w:rsidRDefault="009E1525" w:rsidP="005125BA">
      <w:pPr>
        <w:rPr>
          <w:b/>
          <w:bCs/>
          <w:sz w:val="36"/>
          <w:szCs w:val="36"/>
        </w:rPr>
      </w:pPr>
    </w:p>
    <w:p w14:paraId="147C6C1C" w14:textId="77777777" w:rsidR="009E1525" w:rsidRDefault="009E1525" w:rsidP="005125BA">
      <w:pPr>
        <w:rPr>
          <w:b/>
          <w:bCs/>
          <w:sz w:val="36"/>
          <w:szCs w:val="36"/>
        </w:rPr>
      </w:pPr>
    </w:p>
    <w:p w14:paraId="76C7F994" w14:textId="77777777" w:rsidR="009E1525" w:rsidRDefault="009E1525" w:rsidP="005125BA">
      <w:pPr>
        <w:rPr>
          <w:b/>
          <w:bCs/>
          <w:sz w:val="36"/>
          <w:szCs w:val="36"/>
        </w:rPr>
      </w:pPr>
    </w:p>
    <w:p w14:paraId="5B53E34A" w14:textId="77777777" w:rsidR="009E1525" w:rsidRDefault="009E1525" w:rsidP="005125BA">
      <w:pPr>
        <w:rPr>
          <w:b/>
          <w:bCs/>
          <w:sz w:val="36"/>
          <w:szCs w:val="36"/>
        </w:rPr>
      </w:pPr>
    </w:p>
    <w:p w14:paraId="0B592F68" w14:textId="70BE9B2C" w:rsidR="005125BA" w:rsidRPr="002F5265" w:rsidRDefault="004D0DFB" w:rsidP="005125BA">
      <w:pPr>
        <w:rPr>
          <w:b/>
          <w:bCs/>
          <w:sz w:val="36"/>
          <w:szCs w:val="36"/>
          <w:u w:val="single"/>
        </w:rPr>
      </w:pPr>
      <w:r w:rsidRPr="004D0DFB">
        <w:rPr>
          <w:b/>
          <w:bCs/>
          <w:sz w:val="36"/>
          <w:szCs w:val="36"/>
        </w:rPr>
        <w:lastRenderedPageBreak/>
        <w:t>Business Insight 7</w:t>
      </w:r>
      <w:r w:rsidRPr="004D0DFB">
        <w:rPr>
          <w:sz w:val="36"/>
          <w:szCs w:val="36"/>
        </w:rPr>
        <w:t xml:space="preserve"> — </w:t>
      </w:r>
      <w:r w:rsidRPr="002F5265">
        <w:rPr>
          <w:b/>
          <w:bCs/>
          <w:sz w:val="36"/>
          <w:szCs w:val="36"/>
          <w:u w:val="single"/>
        </w:rPr>
        <w:t>High-Risk Customer Persona Analysis</w:t>
      </w:r>
    </w:p>
    <w:p w14:paraId="38656FE2" w14:textId="7FAB3A71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>To better understand customer default behaviour, a persona-based analysis was conducted to identify the dominant characteristics of high-risk borrowers. Multiple demographic, financial, employment, and asset-based variables were analysed to develop a representative high-risk customer profile.</w:t>
      </w:r>
    </w:p>
    <w:p w14:paraId="55C1113A" w14:textId="77777777" w:rsidR="002F5265" w:rsidRDefault="002F5265" w:rsidP="002F5265">
      <w:pPr>
        <w:rPr>
          <w:sz w:val="28"/>
          <w:szCs w:val="28"/>
        </w:rPr>
      </w:pPr>
    </w:p>
    <w:p w14:paraId="3390A113" w14:textId="77777777" w:rsidR="002F5265" w:rsidRDefault="002F5265" w:rsidP="002F5265">
      <w:pPr>
        <w:rPr>
          <w:sz w:val="28"/>
          <w:szCs w:val="28"/>
        </w:rPr>
      </w:pPr>
    </w:p>
    <w:p w14:paraId="23E5BE07" w14:textId="3842C54F" w:rsidR="002F5265" w:rsidRPr="002F5265" w:rsidRDefault="002F5265" w:rsidP="002F526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t>Income Profile of High-Risk Customers</w:t>
      </w:r>
    </w:p>
    <w:p w14:paraId="5206CCCF" w14:textId="1FA3F268" w:rsidR="002F5265" w:rsidRDefault="002F5265" w:rsidP="002F526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973B59" wp14:editId="5FCA6187">
            <wp:extent cx="3705742" cy="1171739"/>
            <wp:effectExtent l="0" t="0" r="0" b="9525"/>
            <wp:docPr id="2129746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6003" name="Picture 21297460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762" w14:textId="52E3B275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The analysis revealed that </w:t>
      </w:r>
      <w:r w:rsidRPr="002F5265">
        <w:rPr>
          <w:rStyle w:val="Strong"/>
          <w:sz w:val="28"/>
          <w:szCs w:val="28"/>
        </w:rPr>
        <w:t>Middle Income customers formed the largest share of high-risk borrowers (18,247 customers)</w:t>
      </w:r>
      <w:r w:rsidRPr="002F5265">
        <w:rPr>
          <w:sz w:val="28"/>
          <w:szCs w:val="28"/>
        </w:rPr>
        <w:t xml:space="preserve">, followed by </w:t>
      </w:r>
      <w:r w:rsidRPr="002F5265">
        <w:rPr>
          <w:rStyle w:val="Strong"/>
          <w:sz w:val="28"/>
          <w:szCs w:val="28"/>
        </w:rPr>
        <w:t>Low Income customers (5,225 customers)</w:t>
      </w:r>
      <w:r w:rsidRPr="002F5265">
        <w:rPr>
          <w:sz w:val="28"/>
          <w:szCs w:val="28"/>
        </w:rPr>
        <w:t>. This finding suggests that repayment risk is not limited to financially weaker groups and may also affect middle-income borrowers.</w:t>
      </w:r>
    </w:p>
    <w:p w14:paraId="6FB22E94" w14:textId="77777777" w:rsidR="002F5265" w:rsidRDefault="002F5265" w:rsidP="002F5265">
      <w:pPr>
        <w:rPr>
          <w:sz w:val="28"/>
          <w:szCs w:val="28"/>
        </w:rPr>
      </w:pPr>
    </w:p>
    <w:p w14:paraId="44EDFE62" w14:textId="6FB0EF0F" w:rsidR="002F5265" w:rsidRPr="002F5265" w:rsidRDefault="002F5265" w:rsidP="002F5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t>Education Profile of High-Risk Customers</w:t>
      </w:r>
    </w:p>
    <w:p w14:paraId="303AA154" w14:textId="00B803E8" w:rsidR="002F5265" w:rsidRDefault="002F5265" w:rsidP="002F526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7A8804" wp14:editId="18E49F4B">
            <wp:extent cx="3715268" cy="1590897"/>
            <wp:effectExtent l="0" t="0" r="0" b="9525"/>
            <wp:docPr id="1278660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0371" name="Picture 12786603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AEB6" w14:textId="4352CE49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Customers with </w:t>
      </w:r>
      <w:r w:rsidRPr="002F5265">
        <w:rPr>
          <w:rStyle w:val="Strong"/>
          <w:sz w:val="28"/>
          <w:szCs w:val="28"/>
        </w:rPr>
        <w:t>Secondary / Secondary Special education dominated the high-risk category (19,524 customers)</w:t>
      </w:r>
      <w:r w:rsidRPr="002F5265">
        <w:rPr>
          <w:sz w:val="28"/>
          <w:szCs w:val="28"/>
        </w:rPr>
        <w:t>, indicating that educational background may influence financial stability and repayment discipline.</w:t>
      </w:r>
    </w:p>
    <w:p w14:paraId="4D329705" w14:textId="77777777" w:rsidR="002F5265" w:rsidRDefault="002F5265" w:rsidP="002F5265">
      <w:pPr>
        <w:pStyle w:val="ListParagraph"/>
        <w:rPr>
          <w:b/>
          <w:bCs/>
          <w:sz w:val="28"/>
          <w:szCs w:val="28"/>
        </w:rPr>
      </w:pPr>
    </w:p>
    <w:p w14:paraId="3B0C2B08" w14:textId="77777777" w:rsidR="002F5265" w:rsidRDefault="002F5265" w:rsidP="002F5265">
      <w:pPr>
        <w:pStyle w:val="ListParagraph"/>
        <w:rPr>
          <w:b/>
          <w:bCs/>
          <w:sz w:val="28"/>
          <w:szCs w:val="28"/>
        </w:rPr>
      </w:pPr>
    </w:p>
    <w:p w14:paraId="25403985" w14:textId="79B91A4B" w:rsidR="002F5265" w:rsidRDefault="002F5265" w:rsidP="002F5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lastRenderedPageBreak/>
        <w:t>Occupation Profile of High-Risk Customers</w:t>
      </w:r>
    </w:p>
    <w:p w14:paraId="79B5998D" w14:textId="510CF8AB" w:rsidR="002F5265" w:rsidRDefault="002F5265" w:rsidP="002F5265">
      <w:r>
        <w:rPr>
          <w:noProof/>
        </w:rPr>
        <w:drawing>
          <wp:inline distT="0" distB="0" distL="0" distR="0" wp14:anchorId="79ACAA9C" wp14:editId="18F63730">
            <wp:extent cx="2943225" cy="3390900"/>
            <wp:effectExtent l="0" t="0" r="9525" b="0"/>
            <wp:docPr id="14854829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2991" name="Picture 14854829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9" cy="339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6506" w14:textId="77777777" w:rsidR="002F5265" w:rsidRDefault="002F5265" w:rsidP="002F5265"/>
    <w:p w14:paraId="2635A5BB" w14:textId="2861E7AF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High-risk customers were primarily concentrated in </w:t>
      </w:r>
      <w:r w:rsidRPr="002F5265">
        <w:rPr>
          <w:rStyle w:val="Strong"/>
          <w:sz w:val="28"/>
          <w:szCs w:val="28"/>
        </w:rPr>
        <w:t>labour-intensive occupations</w:t>
      </w:r>
      <w:r w:rsidRPr="002F5265">
        <w:rPr>
          <w:sz w:val="28"/>
          <w:szCs w:val="28"/>
        </w:rPr>
        <w:t xml:space="preserve">, particularly </w:t>
      </w:r>
      <w:r w:rsidRPr="002F5265">
        <w:rPr>
          <w:rStyle w:val="Strong"/>
          <w:sz w:val="28"/>
          <w:szCs w:val="28"/>
        </w:rPr>
        <w:t>Laborers, Sales Staff, and Drivers</w:t>
      </w:r>
      <w:r w:rsidRPr="002F5265">
        <w:rPr>
          <w:sz w:val="28"/>
          <w:szCs w:val="28"/>
        </w:rPr>
        <w:t>, suggesting higher financial vulnerability within these professions.</w:t>
      </w:r>
    </w:p>
    <w:p w14:paraId="703C9E58" w14:textId="71451B85" w:rsidR="002F5265" w:rsidRDefault="002F5265" w:rsidP="002F5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t>Property Ownership Profile</w:t>
      </w:r>
    </w:p>
    <w:p w14:paraId="7132395B" w14:textId="77777777" w:rsidR="002F5265" w:rsidRDefault="002F5265" w:rsidP="002F5265">
      <w:pPr>
        <w:pStyle w:val="ListParagraph"/>
        <w:rPr>
          <w:b/>
          <w:bCs/>
          <w:sz w:val="28"/>
          <w:szCs w:val="28"/>
        </w:rPr>
      </w:pPr>
    </w:p>
    <w:p w14:paraId="61C7DE9E" w14:textId="5B1B649D" w:rsidR="002F5265" w:rsidRDefault="002F5265" w:rsidP="002F5265">
      <w:pPr>
        <w:rPr>
          <w:noProof/>
        </w:rPr>
      </w:pPr>
      <w:r>
        <w:rPr>
          <w:noProof/>
        </w:rPr>
        <w:drawing>
          <wp:inline distT="0" distB="0" distL="0" distR="0" wp14:anchorId="44EFC821" wp14:editId="76633EA5">
            <wp:extent cx="3353268" cy="952633"/>
            <wp:effectExtent l="0" t="0" r="0" b="0"/>
            <wp:docPr id="606651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1314" name="Picture 6066513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2EEF" w14:textId="13C5F82D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Surprisingly, a significant proportion of high-risk customers </w:t>
      </w:r>
      <w:r w:rsidRPr="002F5265">
        <w:rPr>
          <w:rStyle w:val="Strong"/>
          <w:sz w:val="28"/>
          <w:szCs w:val="28"/>
        </w:rPr>
        <w:t>owned property</w:t>
      </w:r>
      <w:r w:rsidRPr="002F5265">
        <w:rPr>
          <w:sz w:val="28"/>
          <w:szCs w:val="28"/>
        </w:rPr>
        <w:t>, indicating that property ownership alone may not be sufficient to determine repayment reliability.</w:t>
      </w:r>
    </w:p>
    <w:p w14:paraId="01CCF0C7" w14:textId="77777777" w:rsidR="002F5265" w:rsidRDefault="002F5265" w:rsidP="002F5265">
      <w:pPr>
        <w:rPr>
          <w:sz w:val="28"/>
          <w:szCs w:val="28"/>
        </w:rPr>
      </w:pPr>
    </w:p>
    <w:p w14:paraId="0E4E10F2" w14:textId="77777777" w:rsidR="002F5265" w:rsidRDefault="002F5265" w:rsidP="002F5265">
      <w:pPr>
        <w:rPr>
          <w:sz w:val="28"/>
          <w:szCs w:val="28"/>
        </w:rPr>
      </w:pPr>
    </w:p>
    <w:p w14:paraId="0E455205" w14:textId="77777777" w:rsidR="002F5265" w:rsidRDefault="002F5265" w:rsidP="002F5265">
      <w:pPr>
        <w:rPr>
          <w:sz w:val="28"/>
          <w:szCs w:val="28"/>
        </w:rPr>
      </w:pPr>
    </w:p>
    <w:p w14:paraId="7F182B80" w14:textId="77777777" w:rsidR="002F5265" w:rsidRDefault="002F5265" w:rsidP="002F5265">
      <w:pPr>
        <w:rPr>
          <w:sz w:val="28"/>
          <w:szCs w:val="28"/>
        </w:rPr>
      </w:pPr>
    </w:p>
    <w:p w14:paraId="7F33710D" w14:textId="2EA3AC58" w:rsidR="002F5265" w:rsidRDefault="002F5265" w:rsidP="002F5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lastRenderedPageBreak/>
        <w:t>Car Ownership Profile</w:t>
      </w:r>
    </w:p>
    <w:p w14:paraId="1029D008" w14:textId="37AF8BDB" w:rsidR="002F5265" w:rsidRDefault="002F5265" w:rsidP="002F5265">
      <w:r>
        <w:rPr>
          <w:noProof/>
        </w:rPr>
        <w:drawing>
          <wp:anchor distT="0" distB="0" distL="114300" distR="114300" simplePos="0" relativeHeight="251658240" behindDoc="0" locked="0" layoutInCell="1" allowOverlap="1" wp14:anchorId="0CC16439" wp14:editId="1BB98853">
            <wp:simplePos x="914400" y="8648700"/>
            <wp:positionH relativeFrom="column">
              <wp:align>left</wp:align>
            </wp:positionH>
            <wp:positionV relativeFrom="paragraph">
              <wp:align>top</wp:align>
            </wp:positionV>
            <wp:extent cx="3334215" cy="971686"/>
            <wp:effectExtent l="0" t="0" r="0" b="0"/>
            <wp:wrapSquare wrapText="bothSides"/>
            <wp:docPr id="1160218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8882" name="Picture 11602188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42121BA" w14:textId="1B272663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A larger proportion of risky borrowers </w:t>
      </w:r>
      <w:r w:rsidRPr="002F5265">
        <w:rPr>
          <w:rStyle w:val="Strong"/>
          <w:sz w:val="28"/>
          <w:szCs w:val="28"/>
        </w:rPr>
        <w:t>did not own a car</w:t>
      </w:r>
      <w:r w:rsidRPr="002F5265">
        <w:rPr>
          <w:sz w:val="28"/>
          <w:szCs w:val="28"/>
        </w:rPr>
        <w:t>, suggesting a possible relationship between asset ownership and financial stability.</w:t>
      </w:r>
    </w:p>
    <w:p w14:paraId="7751C115" w14:textId="6E61E796" w:rsidR="002F5265" w:rsidRDefault="002F5265" w:rsidP="002F52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5265">
        <w:rPr>
          <w:b/>
          <w:bCs/>
          <w:sz w:val="28"/>
          <w:szCs w:val="28"/>
        </w:rPr>
        <w:t>Employment Profile of High-Risk Customers</w:t>
      </w:r>
    </w:p>
    <w:p w14:paraId="13DFEC34" w14:textId="68B4003A" w:rsidR="002F5265" w:rsidRDefault="002F5265" w:rsidP="002F52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7991CD" wp14:editId="11DFDBDF">
            <wp:extent cx="3343742" cy="1343212"/>
            <wp:effectExtent l="0" t="0" r="9525" b="0"/>
            <wp:docPr id="788903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3496" name="Picture 7889034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6BEA" w14:textId="259D66B7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Most high-risk customers belonged to the </w:t>
      </w:r>
      <w:r w:rsidRPr="002F5265">
        <w:rPr>
          <w:rStyle w:val="Strong"/>
          <w:sz w:val="28"/>
          <w:szCs w:val="28"/>
        </w:rPr>
        <w:t>Moderate Experience and Low Experience employment categories</w:t>
      </w:r>
      <w:r w:rsidRPr="002F5265">
        <w:rPr>
          <w:sz w:val="28"/>
          <w:szCs w:val="28"/>
        </w:rPr>
        <w:t>, indicating that employment stability may influence repayment behaviour.</w:t>
      </w:r>
    </w:p>
    <w:p w14:paraId="1A9B4911" w14:textId="6BEE64FE" w:rsidR="002F5265" w:rsidRDefault="002F5265" w:rsidP="002F5265">
      <w:pPr>
        <w:rPr>
          <w:b/>
          <w:bCs/>
          <w:sz w:val="32"/>
          <w:szCs w:val="32"/>
          <w:u w:val="single"/>
        </w:rPr>
      </w:pPr>
      <w:r w:rsidRPr="002F5265">
        <w:rPr>
          <w:b/>
          <w:bCs/>
          <w:sz w:val="32"/>
          <w:szCs w:val="32"/>
          <w:u w:val="single"/>
        </w:rPr>
        <w:t>Final Persona Summary</w:t>
      </w:r>
    </w:p>
    <w:p w14:paraId="0FD89D78" w14:textId="5B14C7F3" w:rsidR="002F5265" w:rsidRDefault="002F5265" w:rsidP="002F5265">
      <w:pPr>
        <w:rPr>
          <w:sz w:val="28"/>
          <w:szCs w:val="28"/>
        </w:rPr>
      </w:pPr>
      <w:r w:rsidRPr="002F5265">
        <w:rPr>
          <w:sz w:val="28"/>
          <w:szCs w:val="28"/>
        </w:rPr>
        <w:t xml:space="preserve">Based on the analysis, a typical high-risk borrower in the banking portfolio is likely to be a </w:t>
      </w:r>
      <w:r w:rsidRPr="002F5265">
        <w:rPr>
          <w:rStyle w:val="Strong"/>
          <w:sz w:val="28"/>
          <w:szCs w:val="28"/>
        </w:rPr>
        <w:t>middle-income customer with secondary education, working in labour-intensive occupations, possessing limited asset ownership, and demonstrating moderate employment stability</w:t>
      </w:r>
      <w:r w:rsidRPr="002F5265">
        <w:rPr>
          <w:sz w:val="28"/>
          <w:szCs w:val="28"/>
        </w:rPr>
        <w:t>.</w:t>
      </w:r>
    </w:p>
    <w:p w14:paraId="1F43046D" w14:textId="77777777" w:rsidR="009E1525" w:rsidRDefault="009E1525" w:rsidP="002F5265">
      <w:pPr>
        <w:rPr>
          <w:rStyle w:val="Strong"/>
          <w:sz w:val="28"/>
          <w:szCs w:val="28"/>
        </w:rPr>
      </w:pPr>
    </w:p>
    <w:p w14:paraId="02E8DF1F" w14:textId="337E9386" w:rsidR="009E1525" w:rsidRPr="009E1525" w:rsidRDefault="009E1525" w:rsidP="009E1525">
      <w:pPr>
        <w:rPr>
          <w:b/>
          <w:bCs/>
          <w:sz w:val="36"/>
          <w:szCs w:val="36"/>
        </w:rPr>
      </w:pPr>
      <w:r w:rsidRPr="009E1525">
        <w:rPr>
          <w:b/>
          <w:bCs/>
          <w:sz w:val="36"/>
          <w:szCs w:val="36"/>
        </w:rPr>
        <w:t>AI-Assisted Credit Risk Intelligence Framework</w:t>
      </w:r>
    </w:p>
    <w:p w14:paraId="3D0B0770" w14:textId="77777777" w:rsidR="009E1525" w:rsidRPr="009E1525" w:rsidRDefault="009E1525" w:rsidP="009E152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1525">
        <w:rPr>
          <w:rFonts w:asciiTheme="minorHAnsi" w:hAnsiTheme="minorHAnsi" w:cstheme="minorHAnsi"/>
          <w:sz w:val="28"/>
          <w:szCs w:val="28"/>
        </w:rPr>
        <w:t xml:space="preserve">To extend the project beyond descriptive analytics, an </w:t>
      </w:r>
      <w:r w:rsidRPr="009E1525">
        <w:rPr>
          <w:rStyle w:val="Strong"/>
          <w:rFonts w:asciiTheme="minorHAnsi" w:eastAsiaTheme="majorEastAsia" w:hAnsiTheme="minorHAnsi" w:cstheme="minorHAnsi"/>
          <w:sz w:val="28"/>
          <w:szCs w:val="28"/>
        </w:rPr>
        <w:t>AI-Assisted Credit Risk Intelligence Framework</w:t>
      </w:r>
      <w:r w:rsidRPr="009E1525">
        <w:rPr>
          <w:rFonts w:asciiTheme="minorHAnsi" w:hAnsiTheme="minorHAnsi" w:cstheme="minorHAnsi"/>
          <w:sz w:val="28"/>
          <w:szCs w:val="28"/>
        </w:rPr>
        <w:t xml:space="preserve"> was developed using customer financial, employment, educational, and socio-economic indicators identified during banking risk analysis.</w:t>
      </w:r>
    </w:p>
    <w:p w14:paraId="444B8F13" w14:textId="21BC993B" w:rsidR="009E1525" w:rsidRDefault="009E1525" w:rsidP="009E152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1525">
        <w:rPr>
          <w:rFonts w:asciiTheme="minorHAnsi" w:hAnsiTheme="minorHAnsi" w:cstheme="minorHAnsi"/>
          <w:sz w:val="28"/>
          <w:szCs w:val="28"/>
        </w:rPr>
        <w:t>The framework combines multiple borrower characteristics to simulate an intelligent borrower risk evaluation process for banking decision-making.</w:t>
      </w:r>
    </w:p>
    <w:p w14:paraId="40CEB9F7" w14:textId="77777777" w:rsidR="009E1525" w:rsidRDefault="009E1525" w:rsidP="009E1525">
      <w:pPr>
        <w:pStyle w:val="NormalWeb"/>
      </w:pPr>
    </w:p>
    <w:p w14:paraId="0822E151" w14:textId="031E69D5" w:rsidR="009E1525" w:rsidRPr="009E1525" w:rsidRDefault="009E1525" w:rsidP="009E152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9E1525">
        <w:rPr>
          <w:rFonts w:asciiTheme="minorHAnsi" w:hAnsiTheme="minorHAnsi" w:cstheme="minorHAnsi"/>
          <w:b/>
          <w:bCs/>
          <w:sz w:val="28"/>
          <w:szCs w:val="28"/>
        </w:rPr>
        <w:lastRenderedPageBreak/>
        <w:t>Risk Indicators Table</w:t>
      </w:r>
    </w:p>
    <w:tbl>
      <w:tblPr>
        <w:tblStyle w:val="TableGridLight"/>
        <w:tblW w:w="9509" w:type="dxa"/>
        <w:tblLook w:val="04A0" w:firstRow="1" w:lastRow="0" w:firstColumn="1" w:lastColumn="0" w:noHBand="0" w:noVBand="1"/>
      </w:tblPr>
      <w:tblGrid>
        <w:gridCol w:w="3169"/>
        <w:gridCol w:w="3169"/>
        <w:gridCol w:w="3171"/>
      </w:tblGrid>
      <w:tr w:rsidR="009E1525" w14:paraId="0C9226FD" w14:textId="77777777" w:rsidTr="007652F4">
        <w:trPr>
          <w:trHeight w:val="416"/>
        </w:trPr>
        <w:tc>
          <w:tcPr>
            <w:tcW w:w="3169" w:type="dxa"/>
          </w:tcPr>
          <w:p w14:paraId="5F922681" w14:textId="03BD9E29" w:rsidR="009E1525" w:rsidRPr="009E1525" w:rsidRDefault="009E1525" w:rsidP="009E1525">
            <w:pPr>
              <w:jc w:val="center"/>
              <w:rPr>
                <w:b/>
                <w:bCs/>
                <w:sz w:val="28"/>
                <w:szCs w:val="28"/>
              </w:rPr>
            </w:pPr>
            <w:r w:rsidRPr="009E1525">
              <w:rPr>
                <w:b/>
                <w:bCs/>
                <w:sz w:val="28"/>
                <w:szCs w:val="28"/>
              </w:rPr>
              <w:t>Risk Factor</w:t>
            </w:r>
          </w:p>
        </w:tc>
        <w:tc>
          <w:tcPr>
            <w:tcW w:w="3169" w:type="dxa"/>
          </w:tcPr>
          <w:p w14:paraId="04DC01A7" w14:textId="239C43A9" w:rsidR="009E1525" w:rsidRPr="009E1525" w:rsidRDefault="009E1525" w:rsidP="009E15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Higher Risk Pattern</w:t>
            </w:r>
          </w:p>
        </w:tc>
        <w:tc>
          <w:tcPr>
            <w:tcW w:w="3171" w:type="dxa"/>
          </w:tcPr>
          <w:p w14:paraId="07380E88" w14:textId="2CA3C4C2" w:rsidR="009E1525" w:rsidRPr="009E1525" w:rsidRDefault="009E1525" w:rsidP="009E1525">
            <w:pPr>
              <w:jc w:val="center"/>
              <w:rPr>
                <w:b/>
                <w:bCs/>
                <w:sz w:val="28"/>
                <w:szCs w:val="28"/>
              </w:rPr>
            </w:pPr>
            <w:r w:rsidRPr="009E1525">
              <w:rPr>
                <w:b/>
                <w:bCs/>
                <w:sz w:val="28"/>
                <w:szCs w:val="28"/>
              </w:rPr>
              <w:t>Lower Risk Pattern</w:t>
            </w:r>
          </w:p>
        </w:tc>
      </w:tr>
      <w:tr w:rsidR="009E1525" w14:paraId="577E8004" w14:textId="77777777" w:rsidTr="007652F4">
        <w:trPr>
          <w:trHeight w:val="435"/>
        </w:trPr>
        <w:tc>
          <w:tcPr>
            <w:tcW w:w="3169" w:type="dxa"/>
          </w:tcPr>
          <w:p w14:paraId="5DEE787F" w14:textId="0CCB4F91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Income Level</w:t>
            </w:r>
          </w:p>
        </w:tc>
        <w:tc>
          <w:tcPr>
            <w:tcW w:w="3169" w:type="dxa"/>
          </w:tcPr>
          <w:p w14:paraId="20919002" w14:textId="29E6453E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 / Low Income</w:t>
            </w:r>
          </w:p>
        </w:tc>
        <w:tc>
          <w:tcPr>
            <w:tcW w:w="3171" w:type="dxa"/>
          </w:tcPr>
          <w:p w14:paraId="0B4E5779" w14:textId="3BF92711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Income</w:t>
            </w:r>
          </w:p>
        </w:tc>
      </w:tr>
      <w:tr w:rsidR="009E1525" w14:paraId="7DD9BF11" w14:textId="77777777" w:rsidTr="007652F4">
        <w:trPr>
          <w:trHeight w:val="852"/>
        </w:trPr>
        <w:tc>
          <w:tcPr>
            <w:tcW w:w="3169" w:type="dxa"/>
          </w:tcPr>
          <w:p w14:paraId="2B020919" w14:textId="65BE9267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Education</w:t>
            </w:r>
          </w:p>
        </w:tc>
        <w:tc>
          <w:tcPr>
            <w:tcW w:w="3169" w:type="dxa"/>
          </w:tcPr>
          <w:p w14:paraId="0823D04A" w14:textId="4333486D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Secondary / Lower Secondary</w:t>
            </w:r>
          </w:p>
        </w:tc>
        <w:tc>
          <w:tcPr>
            <w:tcW w:w="3171" w:type="dxa"/>
          </w:tcPr>
          <w:p w14:paraId="60FA4FF1" w14:textId="22311FB5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Higher Education</w:t>
            </w:r>
          </w:p>
        </w:tc>
      </w:tr>
      <w:tr w:rsidR="009E1525" w14:paraId="530BABF6" w14:textId="77777777" w:rsidTr="007652F4">
        <w:trPr>
          <w:trHeight w:val="852"/>
        </w:trPr>
        <w:tc>
          <w:tcPr>
            <w:tcW w:w="3169" w:type="dxa"/>
          </w:tcPr>
          <w:p w14:paraId="2583EC4F" w14:textId="6C14C390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Occupation</w:t>
            </w:r>
          </w:p>
        </w:tc>
        <w:tc>
          <w:tcPr>
            <w:tcW w:w="3169" w:type="dxa"/>
          </w:tcPr>
          <w:p w14:paraId="510D535D" w14:textId="23A6EEA8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Labourers, Drivers, Sales Staff</w:t>
            </w:r>
          </w:p>
        </w:tc>
        <w:tc>
          <w:tcPr>
            <w:tcW w:w="3171" w:type="dxa"/>
          </w:tcPr>
          <w:p w14:paraId="0743E743" w14:textId="4DF95C50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Manager, Accountants</w:t>
            </w:r>
          </w:p>
        </w:tc>
      </w:tr>
      <w:tr w:rsidR="009E1525" w14:paraId="4EC8A4D4" w14:textId="77777777" w:rsidTr="007652F4">
        <w:trPr>
          <w:trHeight w:val="435"/>
        </w:trPr>
        <w:tc>
          <w:tcPr>
            <w:tcW w:w="3169" w:type="dxa"/>
          </w:tcPr>
          <w:p w14:paraId="01D0E62C" w14:textId="763CDA51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Employment</w:t>
            </w:r>
          </w:p>
        </w:tc>
        <w:tc>
          <w:tcPr>
            <w:tcW w:w="3169" w:type="dxa"/>
          </w:tcPr>
          <w:p w14:paraId="461AC561" w14:textId="6F72F1DE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 Experience</w:t>
            </w:r>
          </w:p>
        </w:tc>
        <w:tc>
          <w:tcPr>
            <w:tcW w:w="3171" w:type="dxa"/>
          </w:tcPr>
          <w:p w14:paraId="0C12F834" w14:textId="51848ACE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Higher Experienced</w:t>
            </w:r>
          </w:p>
        </w:tc>
      </w:tr>
      <w:tr w:rsidR="009E1525" w14:paraId="709958A8" w14:textId="77777777" w:rsidTr="007652F4">
        <w:trPr>
          <w:trHeight w:val="416"/>
        </w:trPr>
        <w:tc>
          <w:tcPr>
            <w:tcW w:w="3169" w:type="dxa"/>
          </w:tcPr>
          <w:p w14:paraId="02682CDD" w14:textId="58CC0651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Asset ownership</w:t>
            </w:r>
          </w:p>
        </w:tc>
        <w:tc>
          <w:tcPr>
            <w:tcW w:w="3169" w:type="dxa"/>
          </w:tcPr>
          <w:p w14:paraId="718DD793" w14:textId="796D056B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Car / No Property</w:t>
            </w:r>
          </w:p>
        </w:tc>
        <w:tc>
          <w:tcPr>
            <w:tcW w:w="3171" w:type="dxa"/>
          </w:tcPr>
          <w:p w14:paraId="69941292" w14:textId="0F4EA972" w:rsidR="009E1525" w:rsidRDefault="009E1525" w:rsidP="009E1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Own Car/Property</w:t>
            </w:r>
          </w:p>
        </w:tc>
      </w:tr>
    </w:tbl>
    <w:p w14:paraId="1A78EDE8" w14:textId="77777777" w:rsidR="009E1525" w:rsidRDefault="009E1525" w:rsidP="009E1525">
      <w:pPr>
        <w:rPr>
          <w:sz w:val="28"/>
          <w:szCs w:val="28"/>
        </w:rPr>
      </w:pPr>
    </w:p>
    <w:p w14:paraId="5264157F" w14:textId="77777777" w:rsidR="007652F4" w:rsidRDefault="007652F4" w:rsidP="009E1525">
      <w:pPr>
        <w:rPr>
          <w:b/>
          <w:bCs/>
          <w:sz w:val="32"/>
          <w:szCs w:val="32"/>
        </w:rPr>
      </w:pPr>
    </w:p>
    <w:p w14:paraId="2170919C" w14:textId="2CA1B330" w:rsidR="009E1525" w:rsidRDefault="009E1525" w:rsidP="009E1525">
      <w:pPr>
        <w:rPr>
          <w:b/>
          <w:bCs/>
          <w:sz w:val="32"/>
          <w:szCs w:val="32"/>
        </w:rPr>
      </w:pPr>
      <w:r w:rsidRPr="009E1525">
        <w:rPr>
          <w:b/>
          <w:bCs/>
          <w:sz w:val="32"/>
          <w:szCs w:val="32"/>
        </w:rPr>
        <w:t>AI Prototype Implementation</w:t>
      </w:r>
      <w:r w:rsidRPr="009E1525">
        <w:rPr>
          <w:sz w:val="32"/>
          <w:szCs w:val="32"/>
        </w:rPr>
        <w:t xml:space="preserve"> — </w:t>
      </w:r>
      <w:r w:rsidRPr="009E1525">
        <w:rPr>
          <w:sz w:val="32"/>
          <w:szCs w:val="32"/>
          <w:u w:val="single"/>
        </w:rPr>
        <w:t>Credit Risk Intelligence GPT</w:t>
      </w:r>
    </w:p>
    <w:p w14:paraId="15C23674" w14:textId="77777777" w:rsidR="009E1525" w:rsidRPr="009E1525" w:rsidRDefault="009E1525" w:rsidP="009E152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1525">
        <w:rPr>
          <w:rFonts w:asciiTheme="minorHAnsi" w:hAnsiTheme="minorHAnsi" w:cstheme="minorHAnsi"/>
          <w:sz w:val="28"/>
          <w:szCs w:val="28"/>
        </w:rPr>
        <w:t xml:space="preserve">To operationalize project findings into a practical AI solution, a custom </w:t>
      </w:r>
      <w:r w:rsidRPr="009E1525">
        <w:rPr>
          <w:rStyle w:val="Strong"/>
          <w:rFonts w:asciiTheme="minorHAnsi" w:eastAsiaTheme="majorEastAsia" w:hAnsiTheme="minorHAnsi" w:cstheme="minorHAnsi"/>
          <w:sz w:val="28"/>
          <w:szCs w:val="28"/>
        </w:rPr>
        <w:t>AI-Assisted Credit Risk Intelligence GPT</w:t>
      </w:r>
      <w:r w:rsidRPr="009E1525">
        <w:rPr>
          <w:rFonts w:asciiTheme="minorHAnsi" w:hAnsiTheme="minorHAnsi" w:cstheme="minorHAnsi"/>
          <w:sz w:val="28"/>
          <w:szCs w:val="28"/>
        </w:rPr>
        <w:t xml:space="preserve"> was developed. The system evaluates borrower financial profiles using customer characteristics identified during data analysis, including </w:t>
      </w:r>
      <w:r w:rsidRPr="009E1525">
        <w:rPr>
          <w:rStyle w:val="Strong"/>
          <w:rFonts w:asciiTheme="minorHAnsi" w:eastAsiaTheme="majorEastAsia" w:hAnsiTheme="minorHAnsi" w:cstheme="minorHAnsi"/>
          <w:sz w:val="28"/>
          <w:szCs w:val="28"/>
        </w:rPr>
        <w:t>income level, education, occupation, employment stability, and asset ownership</w:t>
      </w:r>
      <w:r w:rsidRPr="009E1525">
        <w:rPr>
          <w:rFonts w:asciiTheme="minorHAnsi" w:hAnsiTheme="minorHAnsi" w:cstheme="minorHAnsi"/>
          <w:sz w:val="28"/>
          <w:szCs w:val="28"/>
        </w:rPr>
        <w:t>.</w:t>
      </w:r>
    </w:p>
    <w:p w14:paraId="56AFBC62" w14:textId="77777777" w:rsidR="009E1525" w:rsidRPr="009E1525" w:rsidRDefault="009E1525" w:rsidP="009E152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1525">
        <w:rPr>
          <w:rFonts w:asciiTheme="minorHAnsi" w:hAnsiTheme="minorHAnsi" w:cstheme="minorHAnsi"/>
          <w:sz w:val="28"/>
          <w:szCs w:val="28"/>
        </w:rPr>
        <w:t xml:space="preserve">The GPT prototype applies a project-specific weighted risk-scoring framework to classify borrowers into </w:t>
      </w:r>
      <w:r w:rsidRPr="009E1525">
        <w:rPr>
          <w:rStyle w:val="Strong"/>
          <w:rFonts w:asciiTheme="minorHAnsi" w:eastAsiaTheme="majorEastAsia" w:hAnsiTheme="minorHAnsi" w:cstheme="minorHAnsi"/>
          <w:sz w:val="28"/>
          <w:szCs w:val="28"/>
        </w:rPr>
        <w:t>Low Risk, Moderate Risk, and High Risk categories</w:t>
      </w:r>
      <w:r w:rsidRPr="009E1525">
        <w:rPr>
          <w:rFonts w:asciiTheme="minorHAnsi" w:hAnsiTheme="minorHAnsi" w:cstheme="minorHAnsi"/>
          <w:sz w:val="28"/>
          <w:szCs w:val="28"/>
        </w:rPr>
        <w:t xml:space="preserve"> while providing explainable reasoning and lending recommendations.</w:t>
      </w:r>
    </w:p>
    <w:p w14:paraId="2EDAD6F1" w14:textId="77777777" w:rsidR="009E1525" w:rsidRPr="009E1525" w:rsidRDefault="009E1525" w:rsidP="009E152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1525">
        <w:rPr>
          <w:rFonts w:asciiTheme="minorHAnsi" w:hAnsiTheme="minorHAnsi" w:cstheme="minorHAnsi"/>
          <w:sz w:val="28"/>
          <w:szCs w:val="28"/>
        </w:rPr>
        <w:t xml:space="preserve">Unlike generic chatbot recommendations, the prototype was grounded in patterns derived from </w:t>
      </w:r>
      <w:r w:rsidRPr="009E1525">
        <w:rPr>
          <w:rStyle w:val="Strong"/>
          <w:rFonts w:asciiTheme="minorHAnsi" w:eastAsiaTheme="majorEastAsia" w:hAnsiTheme="minorHAnsi" w:cstheme="minorHAnsi"/>
          <w:sz w:val="28"/>
          <w:szCs w:val="28"/>
        </w:rPr>
        <w:t>307,511 customer records</w:t>
      </w:r>
      <w:r w:rsidRPr="009E1525">
        <w:rPr>
          <w:rFonts w:asciiTheme="minorHAnsi" w:hAnsiTheme="minorHAnsi" w:cstheme="minorHAnsi"/>
          <w:sz w:val="28"/>
          <w:szCs w:val="28"/>
        </w:rPr>
        <w:t>, enabling more structured and data-backed borrower evaluation.</w:t>
      </w:r>
    </w:p>
    <w:p w14:paraId="08ADB7DF" w14:textId="60964392" w:rsidR="009E1525" w:rsidRPr="007652F4" w:rsidRDefault="007652F4" w:rsidP="007652F4">
      <w:pPr>
        <w:rPr>
          <w:b/>
          <w:bCs/>
          <w:sz w:val="28"/>
          <w:szCs w:val="28"/>
          <w:u w:val="single"/>
        </w:rPr>
      </w:pPr>
      <w:r w:rsidRPr="007652F4"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0B68852D" wp14:editId="3DCAEF4C">
            <wp:simplePos x="0" y="0"/>
            <wp:positionH relativeFrom="margin">
              <wp:posOffset>-47625</wp:posOffset>
            </wp:positionH>
            <wp:positionV relativeFrom="paragraph">
              <wp:posOffset>304800</wp:posOffset>
            </wp:positionV>
            <wp:extent cx="5322570" cy="2771775"/>
            <wp:effectExtent l="0" t="0" r="0" b="9525"/>
            <wp:wrapSquare wrapText="bothSides"/>
            <wp:docPr id="116562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7129" name="Picture 11656271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2F4">
        <w:rPr>
          <w:b/>
          <w:bCs/>
          <w:sz w:val="28"/>
          <w:szCs w:val="28"/>
          <w:u w:val="single"/>
        </w:rPr>
        <w:t>AI Credit Risk GPT Interface</w:t>
      </w:r>
    </w:p>
    <w:p w14:paraId="45EA50C7" w14:textId="1E50C6FF" w:rsidR="007652F4" w:rsidRPr="007652F4" w:rsidRDefault="007652F4" w:rsidP="007652F4">
      <w:pPr>
        <w:rPr>
          <w:sz w:val="28"/>
          <w:szCs w:val="28"/>
        </w:rPr>
      </w:pPr>
    </w:p>
    <w:p w14:paraId="633F9DB5" w14:textId="77777777" w:rsidR="007652F4" w:rsidRPr="007652F4" w:rsidRDefault="007652F4" w:rsidP="007652F4">
      <w:pPr>
        <w:rPr>
          <w:sz w:val="28"/>
          <w:szCs w:val="28"/>
        </w:rPr>
      </w:pPr>
    </w:p>
    <w:p w14:paraId="73095E62" w14:textId="77777777" w:rsidR="007652F4" w:rsidRPr="007652F4" w:rsidRDefault="007652F4" w:rsidP="007652F4">
      <w:pPr>
        <w:rPr>
          <w:sz w:val="28"/>
          <w:szCs w:val="28"/>
        </w:rPr>
      </w:pPr>
    </w:p>
    <w:p w14:paraId="6B5D3AF7" w14:textId="77777777" w:rsidR="007652F4" w:rsidRPr="007652F4" w:rsidRDefault="007652F4" w:rsidP="007652F4">
      <w:pPr>
        <w:rPr>
          <w:sz w:val="28"/>
          <w:szCs w:val="28"/>
        </w:rPr>
      </w:pPr>
    </w:p>
    <w:p w14:paraId="4C3481C7" w14:textId="77777777" w:rsidR="007652F4" w:rsidRPr="007652F4" w:rsidRDefault="007652F4" w:rsidP="007652F4">
      <w:pPr>
        <w:rPr>
          <w:sz w:val="28"/>
          <w:szCs w:val="28"/>
        </w:rPr>
      </w:pPr>
    </w:p>
    <w:p w14:paraId="28C415AD" w14:textId="77777777" w:rsidR="007652F4" w:rsidRPr="007652F4" w:rsidRDefault="007652F4" w:rsidP="007652F4">
      <w:pPr>
        <w:rPr>
          <w:sz w:val="28"/>
          <w:szCs w:val="28"/>
        </w:rPr>
      </w:pPr>
    </w:p>
    <w:p w14:paraId="29B4E102" w14:textId="77777777" w:rsidR="007652F4" w:rsidRPr="007652F4" w:rsidRDefault="007652F4" w:rsidP="007652F4">
      <w:pPr>
        <w:rPr>
          <w:sz w:val="28"/>
          <w:szCs w:val="28"/>
        </w:rPr>
      </w:pPr>
    </w:p>
    <w:p w14:paraId="089E1B26" w14:textId="77777777" w:rsidR="007652F4" w:rsidRPr="007652F4" w:rsidRDefault="007652F4" w:rsidP="007652F4">
      <w:pPr>
        <w:rPr>
          <w:sz w:val="28"/>
          <w:szCs w:val="28"/>
        </w:rPr>
      </w:pPr>
    </w:p>
    <w:p w14:paraId="4D6C501F" w14:textId="77777777" w:rsidR="007652F4" w:rsidRDefault="007652F4" w:rsidP="007652F4">
      <w:pPr>
        <w:rPr>
          <w:b/>
          <w:bCs/>
          <w:sz w:val="28"/>
          <w:szCs w:val="28"/>
        </w:rPr>
      </w:pPr>
    </w:p>
    <w:p w14:paraId="7D630774" w14:textId="645D8893" w:rsidR="007652F4" w:rsidRDefault="007652F4" w:rsidP="007652F4">
      <w:pPr>
        <w:rPr>
          <w:sz w:val="28"/>
          <w:szCs w:val="28"/>
        </w:rPr>
      </w:pPr>
      <w:r w:rsidRPr="007652F4">
        <w:rPr>
          <w:sz w:val="28"/>
          <w:szCs w:val="28"/>
        </w:rPr>
        <w:t>Interface of the AI-Assisted Credit Risk Intelligence GPT developed to simulate borrower risk evaluation using project-specific banking indicators.</w:t>
      </w:r>
    </w:p>
    <w:p w14:paraId="13657178" w14:textId="587A32B2" w:rsidR="007652F4" w:rsidRDefault="007652F4" w:rsidP="007652F4">
      <w:pPr>
        <w:rPr>
          <w:b/>
          <w:bCs/>
          <w:sz w:val="28"/>
          <w:szCs w:val="28"/>
          <w:u w:val="single"/>
        </w:rPr>
      </w:pPr>
      <w:r w:rsidRPr="007652F4">
        <w:rPr>
          <w:b/>
          <w:bCs/>
          <w:sz w:val="28"/>
          <w:szCs w:val="28"/>
          <w:u w:val="single"/>
        </w:rPr>
        <w:t>High-Risk Borrower Evaluation</w:t>
      </w:r>
    </w:p>
    <w:p w14:paraId="19A913F1" w14:textId="627F603A" w:rsidR="007652F4" w:rsidRDefault="007652F4" w:rsidP="007652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9B86C8" wp14:editId="21EA8A5E">
            <wp:extent cx="5290366" cy="3000375"/>
            <wp:effectExtent l="0" t="0" r="5715" b="0"/>
            <wp:docPr id="1844095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95358" name="Picture 18440953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20" cy="30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B22" w14:textId="5B513ECE" w:rsidR="007652F4" w:rsidRDefault="007652F4" w:rsidP="007652F4">
      <w:pPr>
        <w:rPr>
          <w:sz w:val="28"/>
          <w:szCs w:val="28"/>
        </w:rPr>
      </w:pPr>
      <w:r w:rsidRPr="007652F4">
        <w:rPr>
          <w:sz w:val="28"/>
          <w:szCs w:val="28"/>
        </w:rPr>
        <w:t xml:space="preserve">Example of borrower classification where the AI prototype identified a customer as </w:t>
      </w:r>
      <w:r w:rsidRPr="007652F4">
        <w:rPr>
          <w:rStyle w:val="Strong"/>
          <w:sz w:val="28"/>
          <w:szCs w:val="28"/>
        </w:rPr>
        <w:t>High Risk</w:t>
      </w:r>
      <w:r w:rsidRPr="007652F4">
        <w:rPr>
          <w:sz w:val="28"/>
          <w:szCs w:val="28"/>
        </w:rPr>
        <w:t xml:space="preserve"> based on multiple risk indicators, including occupation type, employment stability, and asset ownership profile.</w:t>
      </w:r>
    </w:p>
    <w:p w14:paraId="587E9F44" w14:textId="77777777" w:rsidR="007652F4" w:rsidRDefault="007652F4" w:rsidP="007652F4">
      <w:pPr>
        <w:rPr>
          <w:sz w:val="28"/>
          <w:szCs w:val="28"/>
        </w:rPr>
      </w:pPr>
    </w:p>
    <w:p w14:paraId="756B436F" w14:textId="77777777" w:rsidR="007652F4" w:rsidRDefault="007652F4" w:rsidP="007652F4">
      <w:pPr>
        <w:rPr>
          <w:sz w:val="28"/>
          <w:szCs w:val="28"/>
        </w:rPr>
      </w:pPr>
    </w:p>
    <w:p w14:paraId="3E2C10A5" w14:textId="77777777" w:rsidR="007652F4" w:rsidRPr="007652F4" w:rsidRDefault="007652F4" w:rsidP="00765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7652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Risk Score Breakdown</w:t>
      </w:r>
    </w:p>
    <w:p w14:paraId="36F080A0" w14:textId="5A038637" w:rsidR="007652F4" w:rsidRDefault="007652F4" w:rsidP="007652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40C4D8" wp14:editId="3F3651BD">
            <wp:extent cx="4938071" cy="2809875"/>
            <wp:effectExtent l="0" t="0" r="0" b="0"/>
            <wp:docPr id="1626313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3803" name="Picture 16263138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502" cy="28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8A9F" w14:textId="3367AD5F" w:rsidR="007652F4" w:rsidRDefault="007652F4" w:rsidP="007652F4">
      <w:pPr>
        <w:rPr>
          <w:sz w:val="28"/>
          <w:szCs w:val="28"/>
        </w:rPr>
      </w:pPr>
      <w:r w:rsidRPr="007652F4">
        <w:rPr>
          <w:sz w:val="28"/>
          <w:szCs w:val="28"/>
        </w:rPr>
        <w:t>Explainable risk-scoring mechanism demonstrating how customer attributes contribute to total borrower risk classification within the AI framework.</w:t>
      </w:r>
    </w:p>
    <w:p w14:paraId="649E4D8C" w14:textId="0F3A22CF" w:rsidR="007652F4" w:rsidRDefault="007652F4" w:rsidP="007652F4">
      <w:pPr>
        <w:rPr>
          <w:b/>
          <w:bCs/>
          <w:sz w:val="28"/>
          <w:szCs w:val="28"/>
          <w:u w:val="single"/>
        </w:rPr>
      </w:pPr>
      <w:r w:rsidRPr="007652F4">
        <w:rPr>
          <w:b/>
          <w:bCs/>
          <w:sz w:val="28"/>
          <w:szCs w:val="28"/>
          <w:u w:val="single"/>
        </w:rPr>
        <w:t>Underwriting Recommendation Output</w:t>
      </w:r>
    </w:p>
    <w:p w14:paraId="3615E821" w14:textId="51A4EDA6" w:rsidR="007652F4" w:rsidRDefault="007652F4" w:rsidP="007652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3DECC5" wp14:editId="151AC64E">
            <wp:extent cx="5052311" cy="2886075"/>
            <wp:effectExtent l="0" t="0" r="0" b="0"/>
            <wp:docPr id="764393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3879" name="Picture 7643938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328" cy="289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276A" w14:textId="0108A178" w:rsidR="007652F4" w:rsidRDefault="007652F4" w:rsidP="007652F4">
      <w:pPr>
        <w:rPr>
          <w:sz w:val="28"/>
          <w:szCs w:val="28"/>
        </w:rPr>
      </w:pPr>
      <w:r w:rsidRPr="007652F4">
        <w:rPr>
          <w:sz w:val="28"/>
          <w:szCs w:val="28"/>
        </w:rPr>
        <w:t>AI-generated underwriting assessment and lending recommendation based on customer financial and socio-economic indicators.</w:t>
      </w:r>
    </w:p>
    <w:p w14:paraId="1AE6E2C8" w14:textId="2696E35B" w:rsidR="007652F4" w:rsidRDefault="007652F4" w:rsidP="007652F4">
      <w:pPr>
        <w:tabs>
          <w:tab w:val="left" w:pos="18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EE2BC1D" w14:textId="2379E87B" w:rsidR="00894959" w:rsidRDefault="0089495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82E91" w14:textId="77777777" w:rsidR="00894959" w:rsidRPr="00894959" w:rsidRDefault="00894959" w:rsidP="00894959">
      <w:pPr>
        <w:rPr>
          <w:sz w:val="36"/>
          <w:szCs w:val="36"/>
          <w:u w:val="single"/>
        </w:rPr>
      </w:pPr>
      <w:r w:rsidRPr="00894959">
        <w:rPr>
          <w:b/>
          <w:bCs/>
          <w:sz w:val="36"/>
          <w:szCs w:val="36"/>
          <w:u w:val="single"/>
        </w:rPr>
        <w:lastRenderedPageBreak/>
        <w:t>Tableau Dashboard Development</w:t>
      </w:r>
    </w:p>
    <w:p w14:paraId="17DF3550" w14:textId="77777777" w:rsidR="00894959" w:rsidRPr="00894959" w:rsidRDefault="00894959" w:rsidP="00894959">
      <w:pPr>
        <w:rPr>
          <w:sz w:val="28"/>
          <w:szCs w:val="28"/>
        </w:rPr>
      </w:pPr>
      <w:r w:rsidRPr="00894959">
        <w:rPr>
          <w:sz w:val="28"/>
          <w:szCs w:val="28"/>
        </w:rPr>
        <w:t>To enhance business intelligence and improve visual interpretation of customer credit risk behaviour, an interactive Tableau dashboard was developed using the transformed banking dataset. The dashboard was designed to provide a consolidated overview of customer risk distribution, financial behaviour, employment stability, and occupation-based credit risk patterns.</w:t>
      </w:r>
    </w:p>
    <w:p w14:paraId="690D0039" w14:textId="77777777" w:rsidR="00894959" w:rsidRPr="00894959" w:rsidRDefault="00894959" w:rsidP="00894959">
      <w:pPr>
        <w:rPr>
          <w:sz w:val="28"/>
          <w:szCs w:val="28"/>
        </w:rPr>
      </w:pPr>
      <w:r w:rsidRPr="00894959">
        <w:rPr>
          <w:sz w:val="28"/>
          <w:szCs w:val="28"/>
        </w:rPr>
        <w:t>The objective of the dashboard was to transform raw analytical findings into an interactive decision-support system that enables quick borrower risk assessment and business-level interpretation.</w:t>
      </w:r>
    </w:p>
    <w:p w14:paraId="32CE7375" w14:textId="77777777" w:rsidR="00894959" w:rsidRDefault="00894959" w:rsidP="00894959">
      <w:pPr>
        <w:rPr>
          <w:sz w:val="28"/>
          <w:szCs w:val="28"/>
        </w:rPr>
      </w:pPr>
      <w:r w:rsidRPr="00894959">
        <w:rPr>
          <w:sz w:val="28"/>
          <w:szCs w:val="28"/>
        </w:rPr>
        <w:t>The dashboard combines KPI indicators and risk visualization charts to support banking professionals in identifying high-risk borrower segments and improving lending decisions.</w:t>
      </w:r>
    </w:p>
    <w:p w14:paraId="30A77352" w14:textId="77777777" w:rsidR="00894959" w:rsidRDefault="00894959" w:rsidP="00894959">
      <w:pPr>
        <w:rPr>
          <w:sz w:val="28"/>
          <w:szCs w:val="28"/>
        </w:rPr>
      </w:pPr>
    </w:p>
    <w:p w14:paraId="0D1DBF3E" w14:textId="77777777" w:rsidR="00894959" w:rsidRPr="00894959" w:rsidRDefault="00894959" w:rsidP="00894959">
      <w:pPr>
        <w:rPr>
          <w:b/>
          <w:bCs/>
          <w:sz w:val="36"/>
          <w:szCs w:val="36"/>
        </w:rPr>
      </w:pPr>
      <w:r w:rsidRPr="00894959">
        <w:rPr>
          <w:b/>
          <w:bCs/>
          <w:sz w:val="36"/>
          <w:szCs w:val="36"/>
        </w:rPr>
        <w:t>Dashboard KPIs</w:t>
      </w:r>
    </w:p>
    <w:p w14:paraId="7B4115F8" w14:textId="77777777" w:rsidR="00894959" w:rsidRPr="00894959" w:rsidRDefault="00894959" w:rsidP="00894959">
      <w:pPr>
        <w:rPr>
          <w:sz w:val="28"/>
          <w:szCs w:val="28"/>
        </w:rPr>
      </w:pPr>
      <w:r w:rsidRPr="00894959">
        <w:rPr>
          <w:sz w:val="28"/>
          <w:szCs w:val="28"/>
        </w:rPr>
        <w:t>The dashboard includes six key performance indicators (KPIs) to summarize the overall customer portfolio and financial characteristics:</w:t>
      </w:r>
    </w:p>
    <w:p w14:paraId="0AF4B6FE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Total Customers:</w:t>
      </w:r>
      <w:r w:rsidRPr="00894959">
        <w:rPr>
          <w:sz w:val="28"/>
          <w:szCs w:val="28"/>
        </w:rPr>
        <w:t xml:space="preserve"> 307,511 </w:t>
      </w:r>
    </w:p>
    <w:p w14:paraId="691CF754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High Risk Customers:</w:t>
      </w:r>
      <w:r w:rsidRPr="00894959">
        <w:rPr>
          <w:sz w:val="28"/>
          <w:szCs w:val="28"/>
        </w:rPr>
        <w:t xml:space="preserve"> 24,825 </w:t>
      </w:r>
    </w:p>
    <w:p w14:paraId="17492F2E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High Risk Percentage:</w:t>
      </w:r>
      <w:r w:rsidRPr="00894959">
        <w:rPr>
          <w:sz w:val="28"/>
          <w:szCs w:val="28"/>
        </w:rPr>
        <w:t xml:space="preserve"> 8.1% </w:t>
      </w:r>
    </w:p>
    <w:p w14:paraId="6DA3AD22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Average Income:</w:t>
      </w:r>
      <w:r w:rsidRPr="00894959">
        <w:rPr>
          <w:sz w:val="28"/>
          <w:szCs w:val="28"/>
        </w:rPr>
        <w:t xml:space="preserve"> 168,798 </w:t>
      </w:r>
    </w:p>
    <w:p w14:paraId="3B35DEBF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Average Credit Amount:</w:t>
      </w:r>
      <w:r w:rsidRPr="00894959">
        <w:rPr>
          <w:sz w:val="28"/>
          <w:szCs w:val="28"/>
        </w:rPr>
        <w:t xml:space="preserve"> 599,026 </w:t>
      </w:r>
    </w:p>
    <w:p w14:paraId="1CAF26B9" w14:textId="77777777" w:rsidR="00894959" w:rsidRPr="00894959" w:rsidRDefault="00894959" w:rsidP="00894959">
      <w:pPr>
        <w:numPr>
          <w:ilvl w:val="0"/>
          <w:numId w:val="5"/>
        </w:numPr>
        <w:rPr>
          <w:sz w:val="28"/>
          <w:szCs w:val="28"/>
        </w:rPr>
      </w:pPr>
      <w:r w:rsidRPr="00894959">
        <w:rPr>
          <w:b/>
          <w:bCs/>
          <w:sz w:val="28"/>
          <w:szCs w:val="28"/>
        </w:rPr>
        <w:t>Average Employment Years:</w:t>
      </w:r>
      <w:r w:rsidRPr="00894959">
        <w:rPr>
          <w:sz w:val="28"/>
          <w:szCs w:val="28"/>
        </w:rPr>
        <w:t xml:space="preserve"> 6.5 years </w:t>
      </w:r>
    </w:p>
    <w:p w14:paraId="066D38D0" w14:textId="77777777" w:rsidR="00894959" w:rsidRDefault="00894959" w:rsidP="00894959">
      <w:pPr>
        <w:rPr>
          <w:sz w:val="28"/>
          <w:szCs w:val="28"/>
        </w:rPr>
      </w:pPr>
      <w:r w:rsidRPr="00894959">
        <w:rPr>
          <w:sz w:val="28"/>
          <w:szCs w:val="28"/>
        </w:rPr>
        <w:t>These KPIs provide an immediate overview of portfolio health and customer financial characteristics for business decision-making.</w:t>
      </w:r>
    </w:p>
    <w:p w14:paraId="4ACE22B8" w14:textId="77777777" w:rsidR="00894959" w:rsidRDefault="00894959" w:rsidP="00894959">
      <w:pPr>
        <w:rPr>
          <w:sz w:val="28"/>
          <w:szCs w:val="28"/>
        </w:rPr>
      </w:pPr>
    </w:p>
    <w:p w14:paraId="3FDCCFC0" w14:textId="723DE6BB" w:rsidR="00894959" w:rsidRPr="00894959" w:rsidRDefault="00087223" w:rsidP="0089495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C98440" wp14:editId="3F202843">
            <wp:extent cx="5731510" cy="2941955"/>
            <wp:effectExtent l="0" t="0" r="2540" b="0"/>
            <wp:docPr id="90841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4705" name="Picture 90841470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CA8A" w14:textId="77777777" w:rsidR="00087223" w:rsidRPr="00087223" w:rsidRDefault="00087223" w:rsidP="00087223">
      <w:pPr>
        <w:rPr>
          <w:b/>
          <w:bCs/>
          <w:sz w:val="36"/>
          <w:szCs w:val="36"/>
        </w:rPr>
      </w:pPr>
      <w:r w:rsidRPr="00087223">
        <w:rPr>
          <w:b/>
          <w:bCs/>
          <w:sz w:val="36"/>
          <w:szCs w:val="36"/>
        </w:rPr>
        <w:t>Dashboard Visualizations</w:t>
      </w:r>
    </w:p>
    <w:p w14:paraId="0DF6D37E" w14:textId="77777777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The Tableau dashboard was developed using multiple analytical visualizations to represent borrower credit risk behaviour across different customer segments.</w:t>
      </w:r>
    </w:p>
    <w:p w14:paraId="511C35F4" w14:textId="77777777" w:rsidR="00087223" w:rsidRPr="00087223" w:rsidRDefault="00087223" w:rsidP="00087223">
      <w:pPr>
        <w:rPr>
          <w:b/>
          <w:bCs/>
          <w:sz w:val="28"/>
          <w:szCs w:val="28"/>
        </w:rPr>
      </w:pPr>
      <w:r w:rsidRPr="00087223">
        <w:rPr>
          <w:b/>
          <w:bCs/>
          <w:sz w:val="28"/>
          <w:szCs w:val="28"/>
        </w:rPr>
        <w:t>1. Customer Risk Distribution</w:t>
      </w:r>
    </w:p>
    <w:p w14:paraId="424EBFC9" w14:textId="77777777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This visualization presents the overall distribution of High-Risk and Low-Risk customers in the banking portfolio. The analysis revealed that the majority of customers belonged to the Low-Risk category, indicating a relatively stable borrower portfolio.</w:t>
      </w:r>
    </w:p>
    <w:p w14:paraId="62205C4E" w14:textId="77777777" w:rsidR="00087223" w:rsidRPr="00087223" w:rsidRDefault="00087223" w:rsidP="00087223">
      <w:pPr>
        <w:rPr>
          <w:b/>
          <w:bCs/>
          <w:sz w:val="28"/>
          <w:szCs w:val="28"/>
        </w:rPr>
      </w:pPr>
      <w:r w:rsidRPr="00087223">
        <w:rPr>
          <w:b/>
          <w:bCs/>
          <w:sz w:val="28"/>
          <w:szCs w:val="28"/>
        </w:rPr>
        <w:t>2. Income Group Risk Analysis</w:t>
      </w:r>
    </w:p>
    <w:p w14:paraId="0E8217D2" w14:textId="77777777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This chart compares repayment risk across customer income categories. Middle-income and low-income customers demonstrated higher risk percentages compared to high-income borrowers, suggesting financial resilience differences among income groups.</w:t>
      </w:r>
    </w:p>
    <w:p w14:paraId="2FD893F4" w14:textId="77777777" w:rsidR="00087223" w:rsidRPr="00087223" w:rsidRDefault="00087223" w:rsidP="00087223">
      <w:pPr>
        <w:rPr>
          <w:b/>
          <w:bCs/>
          <w:sz w:val="28"/>
          <w:szCs w:val="28"/>
        </w:rPr>
      </w:pPr>
      <w:r w:rsidRPr="00087223">
        <w:rPr>
          <w:b/>
          <w:bCs/>
          <w:sz w:val="28"/>
          <w:szCs w:val="28"/>
        </w:rPr>
        <w:t>3. Employment Category Risk Analysis</w:t>
      </w:r>
    </w:p>
    <w:p w14:paraId="22B0C81E" w14:textId="77777777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The employment risk visualization revealed that customers with low employment experience demonstrated the highest financial vulnerability, while highly experienced customers showed comparatively lower repayment risk.</w:t>
      </w:r>
    </w:p>
    <w:p w14:paraId="7816E9BF" w14:textId="77777777" w:rsidR="00087223" w:rsidRDefault="00087223" w:rsidP="00087223">
      <w:pPr>
        <w:rPr>
          <w:b/>
          <w:bCs/>
          <w:sz w:val="28"/>
          <w:szCs w:val="28"/>
        </w:rPr>
      </w:pPr>
    </w:p>
    <w:p w14:paraId="32CF9BBD" w14:textId="77777777" w:rsidR="00087223" w:rsidRDefault="00087223" w:rsidP="00087223">
      <w:pPr>
        <w:rPr>
          <w:b/>
          <w:bCs/>
          <w:sz w:val="28"/>
          <w:szCs w:val="28"/>
        </w:rPr>
      </w:pPr>
    </w:p>
    <w:p w14:paraId="72F9DD85" w14:textId="22124AE3" w:rsidR="00087223" w:rsidRPr="00087223" w:rsidRDefault="00087223" w:rsidP="00087223">
      <w:pPr>
        <w:rPr>
          <w:b/>
          <w:bCs/>
          <w:sz w:val="28"/>
          <w:szCs w:val="28"/>
        </w:rPr>
      </w:pPr>
      <w:r w:rsidRPr="00087223">
        <w:rPr>
          <w:b/>
          <w:bCs/>
          <w:sz w:val="28"/>
          <w:szCs w:val="28"/>
        </w:rPr>
        <w:lastRenderedPageBreak/>
        <w:t>4. Occupation Risk Analysis</w:t>
      </w:r>
    </w:p>
    <w:p w14:paraId="76B4211D" w14:textId="014A0A2D" w:rsid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 xml:space="preserve">Occupation-based analysis showed that labour-intensive professions such as </w:t>
      </w:r>
      <w:r w:rsidRPr="00087223">
        <w:rPr>
          <w:sz w:val="28"/>
          <w:szCs w:val="28"/>
        </w:rPr>
        <w:t>labourers</w:t>
      </w:r>
      <w:r w:rsidRPr="00087223">
        <w:rPr>
          <w:sz w:val="28"/>
          <w:szCs w:val="28"/>
        </w:rPr>
        <w:t>, drivers, and service workers demonstrated comparatively higher default risk, while professional occupations exhibited lower financial vulnerability.</w:t>
      </w:r>
    </w:p>
    <w:p w14:paraId="44841FA4" w14:textId="77777777" w:rsidR="00087223" w:rsidRPr="00087223" w:rsidRDefault="00087223" w:rsidP="00087223">
      <w:pPr>
        <w:rPr>
          <w:b/>
          <w:bCs/>
          <w:sz w:val="36"/>
          <w:szCs w:val="36"/>
        </w:rPr>
      </w:pPr>
      <w:r w:rsidRPr="00087223">
        <w:rPr>
          <w:b/>
          <w:bCs/>
          <w:sz w:val="36"/>
          <w:szCs w:val="36"/>
        </w:rPr>
        <w:t>Business Value of Tableau Dashboard</w:t>
      </w:r>
    </w:p>
    <w:p w14:paraId="7D3AFC29" w14:textId="77777777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The Tableau dashboard transformed static business analysis into an interactive and visually interpretable business intelligence system. Instead of manually reviewing spreadsheets and tables, decision-makers can quickly identify high-risk customer groups, monitor borrower patterns, and evaluate financial risk indicators through visual dashboards.</w:t>
      </w:r>
    </w:p>
    <w:p w14:paraId="78FEBADF" w14:textId="70D53A08" w:rsidR="00087223" w:rsidRPr="00087223" w:rsidRDefault="00087223" w:rsidP="00087223">
      <w:pPr>
        <w:rPr>
          <w:sz w:val="28"/>
          <w:szCs w:val="28"/>
        </w:rPr>
      </w:pPr>
      <w:r w:rsidRPr="00087223">
        <w:rPr>
          <w:sz w:val="28"/>
          <w:szCs w:val="28"/>
        </w:rPr>
        <w:t>The dashboard improves analytical efficiency and supports faster, more informed lending decisions within banking environments.</w:t>
      </w:r>
    </w:p>
    <w:p w14:paraId="52C58D74" w14:textId="77777777" w:rsidR="00894959" w:rsidRPr="00894959" w:rsidRDefault="00894959" w:rsidP="00894959">
      <w:pPr>
        <w:rPr>
          <w:sz w:val="28"/>
          <w:szCs w:val="28"/>
        </w:rPr>
      </w:pPr>
    </w:p>
    <w:p w14:paraId="2B3AE8A2" w14:textId="5AF47FBC" w:rsidR="00197C62" w:rsidRPr="00087223" w:rsidRDefault="00197C62" w:rsidP="00087223">
      <w:pPr>
        <w:rPr>
          <w:sz w:val="28"/>
          <w:szCs w:val="28"/>
        </w:rPr>
      </w:pPr>
      <w:r w:rsidRPr="00197C62">
        <w:rPr>
          <w:rFonts w:eastAsia="Times New Roman" w:cstheme="minorHAnsi"/>
          <w:b/>
          <w:bCs/>
          <w:kern w:val="0"/>
          <w:sz w:val="36"/>
          <w:szCs w:val="36"/>
          <w:u w:val="single"/>
          <w:lang w:eastAsia="en-IN"/>
          <w14:ligatures w14:val="none"/>
        </w:rPr>
        <w:t>Project Conclusion</w:t>
      </w:r>
    </w:p>
    <w:p w14:paraId="0DFB4DB8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Add this as your final section:</w:t>
      </w:r>
    </w:p>
    <w:p w14:paraId="7CE14E87" w14:textId="7FA6E4A6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This project successfully analysed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customer credit risk behaviour using banking data consisting of 307,511 customer records and 122 business variables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. Through extensive data cleaning, feature engineering, and risk segmentation, meaningful relationships between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financial stability, education, occupation, employment patterns, asset ownership, and borrower risk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were identified.</w:t>
      </w:r>
    </w:p>
    <w:p w14:paraId="6A8E8435" w14:textId="49E49E8E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analysis revealed that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customer default probability is influenced by multiple socio-economic and employment-related factors rather than a single indicator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. Customers with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lower employment stability, labour-intensive occupations, lower educational backgrounds, and weaker asset ownership profiles demonstrated comparatively higher repayment risk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, while financially stable and professionally employed customers showed stronger repayment reliability.</w:t>
      </w:r>
    </w:p>
    <w:p w14:paraId="7872C622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To extend traditional analytics into practical decision-making, an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AI-Assisted Credit Risk Intelligence Framework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was developed using project-derived borrower characteristics. Furthermore, a functional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AI-Assisted Credit Risk Intelligence GPT prototype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was implemented to simulate borrower risk 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>evaluation through structured scoring and explainable banking recommendations.</w:t>
      </w:r>
    </w:p>
    <w:p w14:paraId="6628013B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project combines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Microsoft Excel, Tableau, Generative AI, and business intelligence techniques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transform raw banking data into actionable financial insights and intelligent borrower evaluation strategies.</w:t>
      </w:r>
    </w:p>
    <w:p w14:paraId="27C43071" w14:textId="77777777" w:rsid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Overall, the project demonstrates how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data analytics and AI can work together to improve banking decision-making, customer risk profiling, and credit assessment processes in modern financial institutions.</w:t>
      </w:r>
    </w:p>
    <w:p w14:paraId="6C4A0FB5" w14:textId="77777777" w:rsidR="00197C62" w:rsidRPr="00197C62" w:rsidRDefault="00197C62" w:rsidP="00197C6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197C62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Future Scope</w:t>
      </w:r>
    </w:p>
    <w:p w14:paraId="7049786E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makes the report feel more advanced.</w:t>
      </w:r>
    </w:p>
    <w:p w14:paraId="418742E3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Future improvements to the project may include the integration of </w:t>
      </w:r>
      <w:r w:rsidRPr="00197C6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machine learning-based credit risk prediction models</w:t>
      </w:r>
      <w:r w:rsidRPr="00197C6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, real-time borrower evaluation systems, and API-based banking intelligence tools to further improve lending decisions and financial risk forecasting.</w:t>
      </w:r>
    </w:p>
    <w:p w14:paraId="362D76AB" w14:textId="77777777" w:rsidR="00197C62" w:rsidRPr="00197C62" w:rsidRDefault="00197C62" w:rsidP="00197C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7F7B5F7" w14:textId="77777777" w:rsidR="00197C62" w:rsidRPr="007652F4" w:rsidRDefault="00197C62" w:rsidP="007652F4">
      <w:pPr>
        <w:tabs>
          <w:tab w:val="left" w:pos="1830"/>
        </w:tabs>
        <w:rPr>
          <w:sz w:val="28"/>
          <w:szCs w:val="28"/>
        </w:rPr>
      </w:pPr>
    </w:p>
    <w:sectPr w:rsidR="00197C62" w:rsidRPr="00765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A2536" w14:textId="77777777" w:rsidR="00042D56" w:rsidRDefault="00042D56" w:rsidP="00A351D7">
      <w:pPr>
        <w:spacing w:after="0" w:line="240" w:lineRule="auto"/>
      </w:pPr>
      <w:r>
        <w:separator/>
      </w:r>
    </w:p>
  </w:endnote>
  <w:endnote w:type="continuationSeparator" w:id="0">
    <w:p w14:paraId="19F18225" w14:textId="77777777" w:rsidR="00042D56" w:rsidRDefault="00042D56" w:rsidP="00A35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30F30" w14:textId="77777777" w:rsidR="00042D56" w:rsidRDefault="00042D56" w:rsidP="00A351D7">
      <w:pPr>
        <w:spacing w:after="0" w:line="240" w:lineRule="auto"/>
      </w:pPr>
      <w:r>
        <w:separator/>
      </w:r>
    </w:p>
  </w:footnote>
  <w:footnote w:type="continuationSeparator" w:id="0">
    <w:p w14:paraId="5FC3B3E4" w14:textId="77777777" w:rsidR="00042D56" w:rsidRDefault="00042D56" w:rsidP="00A35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A82"/>
    <w:multiLevelType w:val="hybridMultilevel"/>
    <w:tmpl w:val="4E3E1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6627F"/>
    <w:multiLevelType w:val="multilevel"/>
    <w:tmpl w:val="FD9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00C1"/>
    <w:multiLevelType w:val="multilevel"/>
    <w:tmpl w:val="357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20426"/>
    <w:multiLevelType w:val="hybridMultilevel"/>
    <w:tmpl w:val="856E4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552D8"/>
    <w:multiLevelType w:val="multilevel"/>
    <w:tmpl w:val="05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58811">
    <w:abstractNumId w:val="4"/>
  </w:num>
  <w:num w:numId="2" w16cid:durableId="1893037988">
    <w:abstractNumId w:val="1"/>
  </w:num>
  <w:num w:numId="3" w16cid:durableId="878664140">
    <w:abstractNumId w:val="0"/>
  </w:num>
  <w:num w:numId="4" w16cid:durableId="614867687">
    <w:abstractNumId w:val="3"/>
  </w:num>
  <w:num w:numId="5" w16cid:durableId="23169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3B"/>
    <w:rsid w:val="0001038B"/>
    <w:rsid w:val="00042D56"/>
    <w:rsid w:val="00087223"/>
    <w:rsid w:val="00197C62"/>
    <w:rsid w:val="001D14E0"/>
    <w:rsid w:val="00277BA4"/>
    <w:rsid w:val="002F5265"/>
    <w:rsid w:val="003F067C"/>
    <w:rsid w:val="00400108"/>
    <w:rsid w:val="004316BE"/>
    <w:rsid w:val="004D0DFB"/>
    <w:rsid w:val="005125BA"/>
    <w:rsid w:val="005A5B81"/>
    <w:rsid w:val="006763E7"/>
    <w:rsid w:val="00701AC1"/>
    <w:rsid w:val="007652F4"/>
    <w:rsid w:val="00894959"/>
    <w:rsid w:val="00973832"/>
    <w:rsid w:val="009E1525"/>
    <w:rsid w:val="00A1297B"/>
    <w:rsid w:val="00A30A61"/>
    <w:rsid w:val="00A351D7"/>
    <w:rsid w:val="00C27AD9"/>
    <w:rsid w:val="00D77C5D"/>
    <w:rsid w:val="00E92FB7"/>
    <w:rsid w:val="00EE613B"/>
    <w:rsid w:val="00FD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9B84"/>
  <w15:chartTrackingRefBased/>
  <w15:docId w15:val="{6AD03472-8822-4429-A3FF-9BC90C18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51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35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1D7"/>
  </w:style>
  <w:style w:type="paragraph" w:styleId="Footer">
    <w:name w:val="footer"/>
    <w:basedOn w:val="Normal"/>
    <w:link w:val="FooterChar"/>
    <w:uiPriority w:val="99"/>
    <w:unhideWhenUsed/>
    <w:rsid w:val="00A35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1D7"/>
  </w:style>
  <w:style w:type="table" w:styleId="TableGrid">
    <w:name w:val="Table Grid"/>
    <w:basedOn w:val="TableNormal"/>
    <w:uiPriority w:val="39"/>
    <w:rsid w:val="009E1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E15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16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 Chauhan</dc:creator>
  <cp:keywords/>
  <dc:description/>
  <cp:lastModifiedBy>Karan Singh Chauhan</cp:lastModifiedBy>
  <cp:revision>12</cp:revision>
  <dcterms:created xsi:type="dcterms:W3CDTF">2026-05-25T19:44:00Z</dcterms:created>
  <dcterms:modified xsi:type="dcterms:W3CDTF">2026-05-27T17:57:00Z</dcterms:modified>
</cp:coreProperties>
</file>