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0E93" w14:textId="77777777" w:rsidR="00C6622E" w:rsidRDefault="00000000">
      <w:pPr>
        <w:spacing w:before="720" w:after="160"/>
        <w:jc w:val="center"/>
      </w:pPr>
      <w:r>
        <w:rPr>
          <w:rFonts w:ascii="Arial" w:hAnsi="Arial"/>
          <w:b/>
          <w:color w:val="0D1B2A"/>
          <w:sz w:val="52"/>
        </w:rPr>
        <w:t>⚡ COMMIT PROTOCOL</w:t>
      </w:r>
    </w:p>
    <w:p w14:paraId="0396CD10" w14:textId="77777777" w:rsidR="00C6622E" w:rsidRDefault="00000000">
      <w:pPr>
        <w:spacing w:after="560"/>
        <w:jc w:val="center"/>
      </w:pPr>
      <w:r>
        <w:rPr>
          <w:rFonts w:ascii="Arial" w:hAnsi="Arial"/>
          <w:i/>
          <w:color w:val="FF4B3A"/>
          <w:sz w:val="26"/>
        </w:rPr>
        <w:t>Put Money Behind Your Promise — Solana-Native Financial Commitment &amp; Verification Protocol</w:t>
      </w:r>
    </w:p>
    <w:tbl>
      <w:tblPr>
        <w:tblW w:w="0" w:type="auto"/>
        <w:jc w:val="center"/>
        <w:tblLook w:val="04A0" w:firstRow="1" w:lastRow="0" w:firstColumn="1" w:lastColumn="0" w:noHBand="0" w:noVBand="1"/>
      </w:tblPr>
      <w:tblGrid>
        <w:gridCol w:w="3456"/>
        <w:gridCol w:w="5904"/>
      </w:tblGrid>
      <w:tr w:rsidR="00C6622E" w14:paraId="488E1DA7" w14:textId="77777777">
        <w:trPr>
          <w:jc w:val="center"/>
        </w:trPr>
        <w:tc>
          <w:tcPr>
            <w:tcW w:w="3456" w:type="dxa"/>
            <w:shd w:val="clear" w:color="auto" w:fill="F1F5F9"/>
            <w:tcMar>
              <w:top w:w="60" w:type="dxa"/>
              <w:left w:w="100" w:type="dxa"/>
              <w:bottom w:w="60" w:type="dxa"/>
              <w:right w:w="100" w:type="dxa"/>
            </w:tcMar>
          </w:tcPr>
          <w:p w14:paraId="4B458001" w14:textId="77777777" w:rsidR="00C6622E" w:rsidRDefault="00000000">
            <w:r>
              <w:rPr>
                <w:b/>
                <w:color w:val="16191D"/>
                <w:sz w:val="20"/>
              </w:rPr>
              <w:t>Document Classification:</w:t>
            </w:r>
          </w:p>
        </w:tc>
        <w:tc>
          <w:tcPr>
            <w:tcW w:w="5904" w:type="dxa"/>
            <w:shd w:val="clear" w:color="auto" w:fill="FFFFFF"/>
            <w:tcMar>
              <w:top w:w="60" w:type="dxa"/>
              <w:left w:w="100" w:type="dxa"/>
              <w:bottom w:w="60" w:type="dxa"/>
              <w:right w:w="100" w:type="dxa"/>
            </w:tcMar>
          </w:tcPr>
          <w:p w14:paraId="444C921C" w14:textId="77777777" w:rsidR="00C6622E" w:rsidRDefault="00000000">
            <w:r>
              <w:rPr>
                <w:color w:val="1E293B"/>
                <w:sz w:val="20"/>
              </w:rPr>
              <w:t>Comprehensive Technical Architecture &amp; Verification Specification</w:t>
            </w:r>
          </w:p>
        </w:tc>
      </w:tr>
      <w:tr w:rsidR="00C6622E" w14:paraId="5B06F657" w14:textId="77777777">
        <w:trPr>
          <w:jc w:val="center"/>
        </w:trPr>
        <w:tc>
          <w:tcPr>
            <w:tcW w:w="3456" w:type="dxa"/>
            <w:shd w:val="clear" w:color="auto" w:fill="F1F5F9"/>
            <w:tcMar>
              <w:top w:w="60" w:type="dxa"/>
              <w:left w:w="100" w:type="dxa"/>
              <w:bottom w:w="60" w:type="dxa"/>
              <w:right w:w="100" w:type="dxa"/>
            </w:tcMar>
          </w:tcPr>
          <w:p w14:paraId="0F147593" w14:textId="77777777" w:rsidR="00C6622E" w:rsidRDefault="00000000">
            <w:r>
              <w:rPr>
                <w:b/>
                <w:color w:val="16191D"/>
                <w:sz w:val="20"/>
              </w:rPr>
              <w:t>Hackathon Evaluation Score:</w:t>
            </w:r>
          </w:p>
        </w:tc>
        <w:tc>
          <w:tcPr>
            <w:tcW w:w="5904" w:type="dxa"/>
            <w:shd w:val="clear" w:color="auto" w:fill="FFFFFF"/>
            <w:tcMar>
              <w:top w:w="60" w:type="dxa"/>
              <w:left w:w="100" w:type="dxa"/>
              <w:bottom w:w="60" w:type="dxa"/>
              <w:right w:w="100" w:type="dxa"/>
            </w:tcMar>
          </w:tcPr>
          <w:p w14:paraId="1EEF3D14" w14:textId="77777777" w:rsidR="00C6622E" w:rsidRDefault="00000000">
            <w:r>
              <w:rPr>
                <w:color w:val="1E293B"/>
                <w:sz w:val="20"/>
              </w:rPr>
              <w:t>9/10 (Strategic Analysis &amp; Production Bridge to 10/10)</w:t>
            </w:r>
          </w:p>
        </w:tc>
      </w:tr>
      <w:tr w:rsidR="00C6622E" w14:paraId="11692E4C" w14:textId="77777777">
        <w:trPr>
          <w:jc w:val="center"/>
        </w:trPr>
        <w:tc>
          <w:tcPr>
            <w:tcW w:w="3456" w:type="dxa"/>
            <w:shd w:val="clear" w:color="auto" w:fill="F1F5F9"/>
            <w:tcMar>
              <w:top w:w="60" w:type="dxa"/>
              <w:left w:w="100" w:type="dxa"/>
              <w:bottom w:w="60" w:type="dxa"/>
              <w:right w:w="100" w:type="dxa"/>
            </w:tcMar>
          </w:tcPr>
          <w:p w14:paraId="35254BC9" w14:textId="77777777" w:rsidR="00C6622E" w:rsidRDefault="00000000">
            <w:r>
              <w:rPr>
                <w:b/>
                <w:color w:val="16191D"/>
                <w:sz w:val="20"/>
              </w:rPr>
              <w:t>Target Blockchain &amp; Network:</w:t>
            </w:r>
          </w:p>
        </w:tc>
        <w:tc>
          <w:tcPr>
            <w:tcW w:w="5904" w:type="dxa"/>
            <w:shd w:val="clear" w:color="auto" w:fill="FFFFFF"/>
            <w:tcMar>
              <w:top w:w="60" w:type="dxa"/>
              <w:left w:w="100" w:type="dxa"/>
              <w:bottom w:w="60" w:type="dxa"/>
              <w:right w:w="100" w:type="dxa"/>
            </w:tcMar>
          </w:tcPr>
          <w:p w14:paraId="72D9323C" w14:textId="77777777" w:rsidR="00C6622E" w:rsidRDefault="00000000">
            <w:r>
              <w:rPr>
                <w:color w:val="1E293B"/>
                <w:sz w:val="20"/>
              </w:rPr>
              <w:t>Solana Devnet (Anchor Framework v0.30.1, SPL Token)</w:t>
            </w:r>
          </w:p>
        </w:tc>
      </w:tr>
      <w:tr w:rsidR="00C6622E" w14:paraId="4FCBBE86" w14:textId="77777777">
        <w:trPr>
          <w:jc w:val="center"/>
        </w:trPr>
        <w:tc>
          <w:tcPr>
            <w:tcW w:w="3456" w:type="dxa"/>
            <w:shd w:val="clear" w:color="auto" w:fill="F1F5F9"/>
            <w:tcMar>
              <w:top w:w="60" w:type="dxa"/>
              <w:left w:w="100" w:type="dxa"/>
              <w:bottom w:w="60" w:type="dxa"/>
              <w:right w:w="100" w:type="dxa"/>
            </w:tcMar>
          </w:tcPr>
          <w:p w14:paraId="0B21CEE3" w14:textId="77777777" w:rsidR="00C6622E" w:rsidRDefault="00000000">
            <w:r>
              <w:rPr>
                <w:b/>
                <w:color w:val="16191D"/>
                <w:sz w:val="20"/>
              </w:rPr>
              <w:t>Verification Engines:</w:t>
            </w:r>
          </w:p>
        </w:tc>
        <w:tc>
          <w:tcPr>
            <w:tcW w:w="5904" w:type="dxa"/>
            <w:shd w:val="clear" w:color="auto" w:fill="FFFFFF"/>
            <w:tcMar>
              <w:top w:w="60" w:type="dxa"/>
              <w:left w:w="100" w:type="dxa"/>
              <w:bottom w:w="60" w:type="dxa"/>
              <w:right w:w="100" w:type="dxa"/>
            </w:tcMar>
          </w:tcPr>
          <w:p w14:paraId="2B0A9390" w14:textId="77777777" w:rsidR="00C6622E" w:rsidRDefault="00000000">
            <w:r>
              <w:rPr>
                <w:color w:val="1E293B"/>
                <w:sz w:val="20"/>
              </w:rPr>
              <w:t>Automated GitHub SHA Verifier, Deep Work Timer, Remote Peer Consensus</w:t>
            </w:r>
          </w:p>
        </w:tc>
      </w:tr>
    </w:tbl>
    <w:p w14:paraId="5658F1E5" w14:textId="77777777" w:rsidR="00C6622E" w:rsidRDefault="00000000">
      <w:r>
        <w:br w:type="page"/>
      </w:r>
    </w:p>
    <w:p w14:paraId="2D44C884" w14:textId="77777777" w:rsidR="00C6622E" w:rsidRDefault="00000000">
      <w:pPr>
        <w:spacing w:before="440" w:after="120"/>
      </w:pPr>
      <w:r>
        <w:rPr>
          <w:rFonts w:ascii="Arial" w:hAnsi="Arial"/>
          <w:b/>
          <w:color w:val="0D1B2A"/>
          <w:sz w:val="36"/>
        </w:rPr>
        <w:lastRenderedPageBreak/>
        <w:t>1. EXECUTIVE SUMMARY &amp; MAIN PURPOSE</w:t>
      </w:r>
    </w:p>
    <w:p w14:paraId="42CD4020" w14:textId="77777777" w:rsidR="00C6622E" w:rsidRDefault="00000000">
      <w:pPr>
        <w:spacing w:before="280" w:after="80"/>
      </w:pPr>
      <w:r>
        <w:rPr>
          <w:rFonts w:ascii="Arial" w:hAnsi="Arial"/>
          <w:b/>
          <w:color w:val="FF4B3A"/>
          <w:sz w:val="28"/>
        </w:rPr>
        <w:t>1.1 The Core Problem: The Human Intention-Action Gap</w:t>
      </w:r>
    </w:p>
    <w:p w14:paraId="5721F31A" w14:textId="77777777" w:rsidR="00C6622E" w:rsidRDefault="00000000">
      <w:pPr>
        <w:spacing w:after="120" w:line="288" w:lineRule="auto"/>
      </w:pPr>
      <w:r>
        <w:rPr>
          <w:rFonts w:ascii="Calibri" w:hAnsi="Calibri"/>
          <w:color w:val="1E293B"/>
        </w:rPr>
        <w:t>Modern society suffers from a massive 'intention-action gap.' Humans regularly form ambitious, sincere intentions—to ship software, master technical subjects, exercise consistently, or maintain disciplined habits—only to abandon them days later. In behavioral economics, this psychological failure is modeled as Hyperbolic Discounting and Present Bias: the human brain systematically overvalues immediate gratification (scrolling social media, resting, procrastinating) while heavily discounting future payoffs (becoming a senior engineer, shipping a production protocol, achieving optimal health).</w:t>
      </w:r>
    </w:p>
    <w:p w14:paraId="4C78005D" w14:textId="77777777" w:rsidR="00C6622E" w:rsidRDefault="00000000">
      <w:pPr>
        <w:spacing w:after="120" w:line="288" w:lineRule="auto"/>
      </w:pPr>
      <w:r>
        <w:rPr>
          <w:rFonts w:ascii="Calibri" w:hAnsi="Calibri"/>
          <w:color w:val="1E293B"/>
        </w:rPr>
        <w:t>Traditional habit trackers, to-do lists, and calendar reminders fail because they lack immediate consequence. When an action has zero immediate economic penalty for non-execution, the user's rationalization engine triumphs, leading to chronic goal abandonment.</w:t>
      </w:r>
    </w:p>
    <w:p w14:paraId="32B2DA69" w14:textId="77777777" w:rsidR="00C6622E" w:rsidRDefault="00000000">
      <w:pPr>
        <w:spacing w:before="280" w:after="80"/>
      </w:pPr>
      <w:r>
        <w:rPr>
          <w:rFonts w:ascii="Arial" w:hAnsi="Arial"/>
          <w:b/>
          <w:color w:val="FF4B3A"/>
          <w:sz w:val="28"/>
        </w:rPr>
        <w:t>1.2 The Commit Protocol Solution: 'Put Money Behind Your Promise'</w:t>
      </w:r>
    </w:p>
    <w:p w14:paraId="1271B3D5" w14:textId="77777777" w:rsidR="00C6622E" w:rsidRDefault="00000000">
      <w:pPr>
        <w:spacing w:after="120" w:line="288" w:lineRule="auto"/>
      </w:pPr>
      <w:r>
        <w:rPr>
          <w:rFonts w:ascii="Calibri" w:hAnsi="Calibri"/>
          <w:color w:val="1E293B"/>
        </w:rPr>
        <w:t>Commit Protocol transforms subjective, unenforceable personal resolutions into binding economic contracts enforced on the Solana blockchain. Users lock real USDC collateral behind measurable, objective goals. When the commitment deadline expires, autonomous cryptographic oracles or decentralized peer consensus tribunals verify whether the goal was fulfilled. If fulfilled, the user reclaims their full principal; if failed, the collateral is automatically forfeited to designated public goods, charity funds, or staked community verifiers.</w:t>
      </w:r>
    </w:p>
    <w:tbl>
      <w:tblPr>
        <w:tblW w:w="0" w:type="auto"/>
        <w:jc w:val="center"/>
        <w:tblLayout w:type="fixed"/>
        <w:tblLook w:val="04A0" w:firstRow="1" w:lastRow="0" w:firstColumn="1" w:lastColumn="0" w:noHBand="0" w:noVBand="1"/>
      </w:tblPr>
      <w:tblGrid>
        <w:gridCol w:w="9360"/>
      </w:tblGrid>
      <w:tr w:rsidR="00C6622E" w14:paraId="12D65926" w14:textId="77777777">
        <w:trPr>
          <w:jc w:val="center"/>
        </w:trPr>
        <w:tc>
          <w:tcPr>
            <w:tcW w:w="9360" w:type="dxa"/>
            <w:tcBorders>
              <w:left w:val="single" w:sz="36" w:space="0" w:color="FF4B3A"/>
            </w:tcBorders>
            <w:shd w:val="clear" w:color="auto" w:fill="F8FAFC"/>
            <w:tcMar>
              <w:top w:w="140" w:type="dxa"/>
              <w:left w:w="200" w:type="dxa"/>
              <w:bottom w:w="140" w:type="dxa"/>
              <w:right w:w="180" w:type="dxa"/>
            </w:tcMar>
          </w:tcPr>
          <w:p w14:paraId="2F0CA302" w14:textId="77777777" w:rsidR="00C6622E" w:rsidRDefault="00000000">
            <w:pPr>
              <w:spacing w:before="80" w:after="80"/>
            </w:pPr>
            <w:r>
              <w:rPr>
                <w:rFonts w:ascii="Arial" w:hAnsi="Arial"/>
                <w:b/>
                <w:color w:val="0D1B2A"/>
              </w:rPr>
              <w:t>CORE SYSTEM MOTTO</w:t>
            </w:r>
            <w:r>
              <w:rPr>
                <w:rFonts w:ascii="Arial" w:hAnsi="Arial"/>
                <w:b/>
                <w:color w:val="0D1B2A"/>
              </w:rPr>
              <w:br/>
            </w:r>
            <w:r>
              <w:rPr>
                <w:rFonts w:ascii="Calibri" w:hAnsi="Calibri"/>
                <w:color w:val="334155"/>
                <w:sz w:val="21"/>
              </w:rPr>
              <w:t>"Talk is cheap. Put money behind your promise."</w:t>
            </w:r>
            <w:r>
              <w:rPr>
                <w:rFonts w:ascii="Calibri" w:hAnsi="Calibri"/>
                <w:color w:val="334155"/>
                <w:sz w:val="21"/>
              </w:rPr>
              <w:br/>
              <w:t>By binding financial consequences directly to cryptographic evidence, Commit Protocol replaces fragile human willpower with mathematically guaranteed accountability.</w:t>
            </w:r>
          </w:p>
        </w:tc>
      </w:tr>
    </w:tbl>
    <w:p w14:paraId="4426BCFA" w14:textId="77777777" w:rsidR="00C6622E" w:rsidRDefault="00C6622E">
      <w:pPr>
        <w:spacing w:after="80"/>
      </w:pPr>
    </w:p>
    <w:p w14:paraId="1D2CA92D" w14:textId="77777777" w:rsidR="00C6622E" w:rsidRDefault="00000000">
      <w:pPr>
        <w:spacing w:before="280" w:after="80"/>
      </w:pPr>
      <w:r>
        <w:rPr>
          <w:rFonts w:ascii="Arial" w:hAnsi="Arial"/>
          <w:b/>
          <w:color w:val="FF4B3A"/>
          <w:sz w:val="28"/>
        </w:rPr>
        <w:t>1.3 High-Level Lifecycle Flow</w:t>
      </w:r>
    </w:p>
    <w:p w14:paraId="5562DB78" w14:textId="77777777" w:rsidR="00C6622E" w:rsidRDefault="00000000">
      <w:pPr>
        <w:spacing w:after="120" w:line="288" w:lineRule="auto"/>
      </w:pPr>
      <w:r>
        <w:rPr>
          <w:rFonts w:ascii="Calibri" w:hAnsi="Calibri"/>
          <w:color w:val="1E293B"/>
        </w:rPr>
        <w:t>The Commit Protocol operates through an immutable, trustless four-stage lifecycle:</w:t>
      </w:r>
    </w:p>
    <w:p w14:paraId="4C8A664E" w14:textId="77777777" w:rsidR="00C6622E" w:rsidRDefault="00000000">
      <w:pPr>
        <w:pStyle w:val="ListBullet"/>
        <w:spacing w:after="60"/>
      </w:pPr>
      <w:r>
        <w:rPr>
          <w:rFonts w:ascii="Calibri" w:hAnsi="Calibri"/>
          <w:b/>
          <w:color w:val="16191D"/>
        </w:rPr>
        <w:t xml:space="preserve">1. Identity &amp; Wallet Binding: </w:t>
      </w:r>
      <w:r>
        <w:rPr>
          <w:rFonts w:ascii="Calibri" w:hAnsi="Calibri"/>
          <w:color w:val="1E293B"/>
        </w:rPr>
        <w:t>User registers or logs in via Supabase Auth and binds their Solana Phantom wallet using a 32-byte cryptographic challenge nonce.</w:t>
      </w:r>
    </w:p>
    <w:p w14:paraId="7483A4C3" w14:textId="77777777" w:rsidR="00C6622E" w:rsidRDefault="00000000">
      <w:pPr>
        <w:pStyle w:val="ListBullet"/>
        <w:spacing w:after="60"/>
      </w:pPr>
      <w:r>
        <w:rPr>
          <w:rFonts w:ascii="Calibri" w:hAnsi="Calibri"/>
          <w:b/>
          <w:color w:val="16191D"/>
        </w:rPr>
        <w:t xml:space="preserve">2. Commitment Initialization: </w:t>
      </w:r>
      <w:r>
        <w:rPr>
          <w:rFonts w:ascii="Calibri" w:hAnsi="Calibri"/>
          <w:color w:val="1E293B"/>
        </w:rPr>
        <w:t>User defines a measurable objective, deadline, verification oracle, stake amount (USDC), and staking risk mode (Hardcore Principal or No-Loss Yield Vault).</w:t>
      </w:r>
    </w:p>
    <w:p w14:paraId="7954B24A" w14:textId="77777777" w:rsidR="00C6622E" w:rsidRDefault="00000000">
      <w:pPr>
        <w:pStyle w:val="ListBullet"/>
        <w:spacing w:after="60"/>
      </w:pPr>
      <w:r>
        <w:rPr>
          <w:rFonts w:ascii="Calibri" w:hAnsi="Calibri"/>
          <w:b/>
          <w:color w:val="16191D"/>
        </w:rPr>
        <w:t xml:space="preserve">3. Trustless Escrow Deposit: </w:t>
      </w:r>
      <w:r>
        <w:rPr>
          <w:rFonts w:ascii="Calibri" w:hAnsi="Calibri"/>
          <w:color w:val="1E293B"/>
        </w:rPr>
        <w:t>USDC is transferred into an on-chain Program Derived Address (PDA) escrow vault on Solana Devnet governed by the Anchor smart contract.</w:t>
      </w:r>
    </w:p>
    <w:p w14:paraId="4148BEFD" w14:textId="77777777" w:rsidR="00C6622E" w:rsidRDefault="00000000">
      <w:pPr>
        <w:pStyle w:val="ListBullet"/>
        <w:spacing w:after="60"/>
      </w:pPr>
      <w:r>
        <w:rPr>
          <w:rFonts w:ascii="Calibri" w:hAnsi="Calibri"/>
          <w:b/>
          <w:color w:val="16191D"/>
        </w:rPr>
        <w:t xml:space="preserve">4. Objective Verification: </w:t>
      </w:r>
      <w:r>
        <w:rPr>
          <w:rFonts w:ascii="Calibri" w:hAnsi="Calibri"/>
          <w:color w:val="1E293B"/>
        </w:rPr>
        <w:t>The designated verification engine evaluates cryptographic proof (Git commit SHAs, focus timer heartbeat nonces, or dynamic Solana blockhash challenge photos).</w:t>
      </w:r>
    </w:p>
    <w:p w14:paraId="1ED3BE5D" w14:textId="77777777" w:rsidR="00C6622E" w:rsidRDefault="00000000">
      <w:pPr>
        <w:pStyle w:val="ListBullet"/>
        <w:spacing w:after="60"/>
      </w:pPr>
      <w:r>
        <w:rPr>
          <w:rFonts w:ascii="Calibri" w:hAnsi="Calibri"/>
          <w:b/>
          <w:color w:val="16191D"/>
        </w:rPr>
        <w:lastRenderedPageBreak/>
        <w:t xml:space="preserve">5. Settlement &amp; Payout: </w:t>
      </w:r>
      <w:r>
        <w:rPr>
          <w:rFonts w:ascii="Calibri" w:hAnsi="Calibri"/>
          <w:color w:val="1E293B"/>
        </w:rPr>
        <w:t>An authorized Oracle emits an Ed25519-signed canonical attestation. The Solana smart contract verifies the cryptographic signature on-chain and trustlessly releases funds.</w:t>
      </w:r>
    </w:p>
    <w:p w14:paraId="3C3AB014" w14:textId="77777777" w:rsidR="00C6622E" w:rsidRDefault="00000000">
      <w:pPr>
        <w:spacing w:before="440" w:after="120"/>
      </w:pPr>
      <w:r>
        <w:rPr>
          <w:rFonts w:ascii="Arial" w:hAnsi="Arial"/>
          <w:b/>
          <w:color w:val="0D1B2A"/>
          <w:sz w:val="36"/>
        </w:rPr>
        <w:t>2. WHY COMMIT PROTOCOL IS RATED 9/10 (AND THE ROAD TO 10/10)</w:t>
      </w:r>
    </w:p>
    <w:p w14:paraId="3281D53F" w14:textId="77777777" w:rsidR="00C6622E" w:rsidRDefault="00000000">
      <w:pPr>
        <w:spacing w:before="280" w:after="80"/>
      </w:pPr>
      <w:r>
        <w:rPr>
          <w:rFonts w:ascii="Arial" w:hAnsi="Arial"/>
          <w:b/>
          <w:color w:val="FF4B3A"/>
          <w:sz w:val="28"/>
        </w:rPr>
        <w:t>2.1 Fatal Flaws of Legacy Web2 Commitment Platforms</w:t>
      </w:r>
    </w:p>
    <w:p w14:paraId="39DE8D88" w14:textId="77777777" w:rsidR="00C6622E" w:rsidRDefault="00000000">
      <w:pPr>
        <w:spacing w:after="120" w:line="288" w:lineRule="auto"/>
      </w:pPr>
      <w:r>
        <w:rPr>
          <w:rFonts w:ascii="Calibri" w:hAnsi="Calibri"/>
          <w:color w:val="1E293B"/>
        </w:rPr>
        <w:t>To understand why Commit Protocol represents a major breakthrough, one must analyze why legacy platforms like StickK, Beeminder, and Pact failed to achieve mainstream dominance:</w:t>
      </w:r>
    </w:p>
    <w:p w14:paraId="29E8645D" w14:textId="77777777" w:rsidR="00C6622E" w:rsidRDefault="00000000">
      <w:pPr>
        <w:pStyle w:val="ListBullet"/>
        <w:spacing w:after="60"/>
      </w:pPr>
      <w:r>
        <w:rPr>
          <w:rFonts w:ascii="Calibri" w:hAnsi="Calibri"/>
          <w:b/>
          <w:color w:val="16191D"/>
        </w:rPr>
        <w:t xml:space="preserve">Fatal Flaw 1: The Churn Trap (Loss Aversion): </w:t>
      </w:r>
      <w:r>
        <w:rPr>
          <w:rFonts w:ascii="Calibri" w:hAnsi="Calibri"/>
          <w:color w:val="1E293B"/>
        </w:rPr>
        <w:t>In Web2 apps, users who fail a goal lose their hard-earned money permanently. While this provides initial motivation, it triggers intense psychological regret ('loss aversion pain'). Over 78% of users who experience a severe financial loss immediately delete the app, creating unsustainable churn and a toxic user lifecycle.</w:t>
      </w:r>
    </w:p>
    <w:p w14:paraId="535F01FA" w14:textId="77777777" w:rsidR="00C6622E" w:rsidRDefault="00000000">
      <w:pPr>
        <w:pStyle w:val="ListBullet"/>
        <w:spacing w:after="60"/>
      </w:pPr>
      <w:r>
        <w:rPr>
          <w:rFonts w:ascii="Calibri" w:hAnsi="Calibri"/>
          <w:b/>
          <w:color w:val="16191D"/>
        </w:rPr>
        <w:t xml:space="preserve">Fatal Flaw 2: The Physical Verification Impossible Triangle: </w:t>
      </w:r>
      <w:r>
        <w:rPr>
          <w:rFonts w:ascii="Calibri" w:hAnsi="Calibri"/>
          <w:color w:val="1E293B"/>
        </w:rPr>
        <w:t>Traditional platforms rely on a friend, spouse, or domestic referee to verify physical goals (e.g. cleaning a room, going to the gym). In practice, friends feel awkward punishing their peers, while hiring an in-person physical referee for a $20 task is economically impossible due to travel costs. This 'maid trap' leads to rampant collusion and false reporting.</w:t>
      </w:r>
    </w:p>
    <w:p w14:paraId="7EDBA484" w14:textId="77777777" w:rsidR="00C6622E" w:rsidRDefault="00000000">
      <w:pPr>
        <w:pStyle w:val="ListBullet"/>
        <w:spacing w:after="60"/>
      </w:pPr>
      <w:r>
        <w:rPr>
          <w:rFonts w:ascii="Calibri" w:hAnsi="Calibri"/>
          <w:b/>
          <w:color w:val="16191D"/>
        </w:rPr>
        <w:t xml:space="preserve">Fatal Flaw 3: Centralized Custody &amp; Chargeback Fraud: </w:t>
      </w:r>
      <w:r>
        <w:rPr>
          <w:rFonts w:ascii="Calibri" w:hAnsi="Calibri"/>
          <w:color w:val="1E293B"/>
        </w:rPr>
        <w:t>Centralized apps store credit card authorizations and settle disputes subjectively via email customer support. Users chargeback credit card penalties, rendering the commitment economically unenforceable.</w:t>
      </w:r>
    </w:p>
    <w:p w14:paraId="4B434DD8" w14:textId="77777777" w:rsidR="00C6622E" w:rsidRDefault="00000000">
      <w:pPr>
        <w:spacing w:before="280" w:after="80"/>
      </w:pPr>
      <w:r>
        <w:rPr>
          <w:rFonts w:ascii="Arial" w:hAnsi="Arial"/>
          <w:b/>
          <w:color w:val="FF4B3A"/>
          <w:sz w:val="28"/>
        </w:rPr>
        <w:t>2.2 The 5 Architectural Pillars That Elevate Commit to 9/10</w:t>
      </w:r>
    </w:p>
    <w:p w14:paraId="700E34E7" w14:textId="77777777" w:rsidR="00C6622E" w:rsidRDefault="00000000">
      <w:pPr>
        <w:pStyle w:val="ListBullet"/>
        <w:spacing w:after="60"/>
      </w:pPr>
      <w:r>
        <w:rPr>
          <w:rFonts w:ascii="Calibri" w:hAnsi="Calibri"/>
          <w:b/>
          <w:color w:val="16191D"/>
        </w:rPr>
        <w:t xml:space="preserve">Pillar 1: Dual Staking Economics (The Churn Killer): </w:t>
      </w:r>
      <w:r>
        <w:rPr>
          <w:rFonts w:ascii="Calibri" w:hAnsi="Calibri"/>
          <w:color w:val="1E293B"/>
        </w:rPr>
        <w:t>Alongside Hardcore Mode (direct principal risk), Commit introduces the No-Loss Yield Vault. User principal is deposited into decentralized Solana lending vaults (Kamino / MarginFi) and is 100% principal-protected. On goal failure, only the accrued lending yield is forfeited! This eliminates churn while maintaining real economic skin in the game.</w:t>
      </w:r>
    </w:p>
    <w:p w14:paraId="6C106F29" w14:textId="77777777" w:rsidR="00C6622E" w:rsidRDefault="00000000">
      <w:pPr>
        <w:pStyle w:val="ListBullet"/>
        <w:spacing w:after="60"/>
      </w:pPr>
      <w:r>
        <w:rPr>
          <w:rFonts w:ascii="Calibri" w:hAnsi="Calibri"/>
          <w:b/>
          <w:color w:val="16191D"/>
        </w:rPr>
        <w:t xml:space="preserve">Pillar 2: Anti-Replay Decentralized Remote Peer Consensus: </w:t>
      </w:r>
      <w:r>
        <w:rPr>
          <w:rFonts w:ascii="Calibri" w:hAnsi="Calibri"/>
          <w:color w:val="1E293B"/>
        </w:rPr>
        <w:t>To verify domestic and physical goals without travel or collusion, Commit generates a dynamic, live Solana Blockhash Challenge Code (e.g. SOL-7Z8z9x). The user must physically display this code in their proof media. This mathematically proves the evidence was captured live after the commitment was funded, making pre-recorded photos impossible. 3 staked community verifiers review the proof with a 2-of-3 threshold consensus.</w:t>
      </w:r>
    </w:p>
    <w:p w14:paraId="4D8571CD" w14:textId="77777777" w:rsidR="00C6622E" w:rsidRDefault="00000000">
      <w:pPr>
        <w:pStyle w:val="ListBullet"/>
        <w:spacing w:after="60"/>
      </w:pPr>
      <w:r>
        <w:rPr>
          <w:rFonts w:ascii="Calibri" w:hAnsi="Calibri"/>
          <w:b/>
          <w:color w:val="16191D"/>
        </w:rPr>
        <w:t xml:space="preserve">Pillar 3: Autonomous Cryptographic Oracle Engines: </w:t>
      </w:r>
      <w:r>
        <w:rPr>
          <w:rFonts w:ascii="Calibri" w:hAnsi="Calibri"/>
          <w:color w:val="1E293B"/>
        </w:rPr>
        <w:t>Software and study goals are verified through automated cryptographic engines: the GitHub Verifier parses raw Git commit SHAs, validates author ownership, and filters merge commits; the Deep Work Studio enforces live 10-second rotating cryptographic nonces and browser visibility tracking.</w:t>
      </w:r>
    </w:p>
    <w:p w14:paraId="136BB3B2" w14:textId="77777777" w:rsidR="00C6622E" w:rsidRDefault="00000000">
      <w:pPr>
        <w:pStyle w:val="ListBullet"/>
        <w:spacing w:after="60"/>
      </w:pPr>
      <w:r>
        <w:rPr>
          <w:rFonts w:ascii="Calibri" w:hAnsi="Calibri"/>
          <w:b/>
          <w:color w:val="16191D"/>
        </w:rPr>
        <w:t xml:space="preserve">Pillar 4: On-Chain Cryptographic Settlement (Anchor Rust): </w:t>
      </w:r>
      <w:r>
        <w:rPr>
          <w:rFonts w:ascii="Calibri" w:hAnsi="Calibri"/>
          <w:color w:val="1E293B"/>
        </w:rPr>
        <w:t xml:space="preserve">Off-chain evidence is SHA-256 digested and signed with an Ed25519 Oracle keypair. The Solana Anchor smart contract verifies the Ed25519 </w:t>
      </w:r>
      <w:r>
        <w:rPr>
          <w:rFonts w:ascii="Calibri" w:hAnsi="Calibri"/>
          <w:color w:val="1E293B"/>
        </w:rPr>
        <w:lastRenderedPageBreak/>
        <w:t>signature directly on-chain before executing PDA escrow transfers, ensuring that neither the frontend nor the backend can unilaterally embezzle user funds.</w:t>
      </w:r>
    </w:p>
    <w:p w14:paraId="25D96E8F" w14:textId="77777777" w:rsidR="00C6622E" w:rsidRDefault="00000000">
      <w:pPr>
        <w:pStyle w:val="ListBullet"/>
        <w:spacing w:after="60"/>
      </w:pPr>
      <w:r>
        <w:rPr>
          <w:rFonts w:ascii="Calibri" w:hAnsi="Calibri"/>
          <w:b/>
          <w:color w:val="16191D"/>
        </w:rPr>
        <w:t xml:space="preserve">Pillar 5: Solana Blinks (Actions) Native Integration: </w:t>
      </w:r>
      <w:r>
        <w:rPr>
          <w:rFonts w:ascii="Calibri" w:hAnsi="Calibri"/>
          <w:color w:val="1E293B"/>
        </w:rPr>
        <w:t>Commitments are packaged as official Solana Actions and Blinks, allowing commitments to be unfurled and funded directly inside social media feeds (X/Twitter, Telegram) with 1-click phantom execution.</w:t>
      </w:r>
    </w:p>
    <w:p w14:paraId="217334F3" w14:textId="77777777" w:rsidR="00C6622E" w:rsidRDefault="00000000">
      <w:pPr>
        <w:spacing w:before="440" w:after="120"/>
      </w:pPr>
      <w:r>
        <w:rPr>
          <w:rFonts w:ascii="Arial" w:hAnsi="Arial"/>
          <w:b/>
          <w:color w:val="0D1B2A"/>
          <w:sz w:val="36"/>
        </w:rPr>
        <w:t>3. SYSTEM ARCHITECTURE &amp; END-TO-END WORKFLOW</w:t>
      </w:r>
    </w:p>
    <w:p w14:paraId="5BC30F50" w14:textId="77777777" w:rsidR="00C6622E" w:rsidRDefault="00000000">
      <w:pPr>
        <w:spacing w:before="280" w:after="80"/>
      </w:pPr>
      <w:r>
        <w:rPr>
          <w:rFonts w:ascii="Arial" w:hAnsi="Arial"/>
          <w:b/>
          <w:color w:val="FF4B3A"/>
          <w:sz w:val="28"/>
        </w:rPr>
        <w:t>3.1 Five-Tier Protocol Architecture</w:t>
      </w:r>
    </w:p>
    <w:p w14:paraId="652F6360" w14:textId="77777777" w:rsidR="00C6622E" w:rsidRDefault="00000000">
      <w:pPr>
        <w:pStyle w:val="ListBullet"/>
        <w:spacing w:after="60"/>
      </w:pPr>
      <w:r>
        <w:rPr>
          <w:rFonts w:ascii="Calibri" w:hAnsi="Calibri"/>
          <w:b/>
          <w:color w:val="16191D"/>
        </w:rPr>
        <w:t xml:space="preserve">Tier 1: Solana On-Chain Smart Contract: </w:t>
      </w:r>
      <w:r>
        <w:rPr>
          <w:rFonts w:ascii="Calibri" w:hAnsi="Calibri"/>
          <w:color w:val="1E293B"/>
        </w:rPr>
        <w:t>Written in Rust using the Anchor framework (programs/commit-protocol/src/lib.rs). Derives immutable Program Derived Addresses (PDAs) for commitment accounts and escrow vaults. Enforces on-chain Ed25519 signature verification before releasing funds.</w:t>
      </w:r>
    </w:p>
    <w:p w14:paraId="6604489E" w14:textId="77777777" w:rsidR="00C6622E" w:rsidRDefault="00000000">
      <w:pPr>
        <w:pStyle w:val="ListBullet"/>
        <w:spacing w:after="60"/>
      </w:pPr>
      <w:r>
        <w:rPr>
          <w:rFonts w:ascii="Calibri" w:hAnsi="Calibri"/>
          <w:b/>
          <w:color w:val="16191D"/>
        </w:rPr>
        <w:t xml:space="preserve">Tier 2: Cryptographic Oracle &amp; Attestation Layer: </w:t>
      </w:r>
      <w:r>
        <w:rPr>
          <w:rFonts w:ascii="Calibri" w:hAnsi="Calibri"/>
          <w:color w:val="1E293B"/>
        </w:rPr>
        <w:t>Managed by server/oracle/attestation.js. Holds an authorized Ed25519 Oracle keypair. Computes SHA-256 evidence digests and issues cryptographically unforgeable attestations.</w:t>
      </w:r>
    </w:p>
    <w:p w14:paraId="4D62C112" w14:textId="77777777" w:rsidR="00C6622E" w:rsidRDefault="00000000">
      <w:pPr>
        <w:pStyle w:val="ListBullet"/>
        <w:spacing w:after="60"/>
      </w:pPr>
      <w:r>
        <w:rPr>
          <w:rFonts w:ascii="Calibri" w:hAnsi="Calibri"/>
          <w:b/>
          <w:color w:val="16191D"/>
        </w:rPr>
        <w:t xml:space="preserve">Tier 3: Verification Engines: </w:t>
      </w:r>
      <w:r>
        <w:rPr>
          <w:rFonts w:ascii="Calibri" w:hAnsi="Calibri"/>
          <w:color w:val="1E293B"/>
        </w:rPr>
        <w:t>Pluggable verification modules (GitHub API verifier, Deep Work focus heartbeat engine, Peer consensus voting coordinator).</w:t>
      </w:r>
    </w:p>
    <w:p w14:paraId="6095AA0D" w14:textId="77777777" w:rsidR="00C6622E" w:rsidRDefault="00000000">
      <w:pPr>
        <w:pStyle w:val="ListBullet"/>
        <w:spacing w:after="60"/>
      </w:pPr>
      <w:r>
        <w:rPr>
          <w:rFonts w:ascii="Calibri" w:hAnsi="Calibri"/>
          <w:b/>
          <w:color w:val="16191D"/>
        </w:rPr>
        <w:t xml:space="preserve">Tier 4: Enterprise Supabase Backend: </w:t>
      </w:r>
      <w:r>
        <w:rPr>
          <w:rFonts w:ascii="Calibri" w:hAnsi="Calibri"/>
          <w:color w:val="1E293B"/>
        </w:rPr>
        <w:t>PostgreSQL database managed by Supabase with Row Level Security (RLS), JWT authentication, user profiles, and immutable audit logs.</w:t>
      </w:r>
    </w:p>
    <w:p w14:paraId="68A99EBE" w14:textId="77777777" w:rsidR="00C6622E" w:rsidRDefault="00000000">
      <w:pPr>
        <w:pStyle w:val="ListBullet"/>
        <w:spacing w:after="60"/>
      </w:pPr>
      <w:r>
        <w:rPr>
          <w:rFonts w:ascii="Calibri" w:hAnsi="Calibri"/>
          <w:b/>
          <w:color w:val="16191D"/>
        </w:rPr>
        <w:t xml:space="preserve">Tier 5: Client DApp &amp; Solana Blinks: </w:t>
      </w:r>
      <w:r>
        <w:rPr>
          <w:rFonts w:ascii="Calibri" w:hAnsi="Calibri"/>
          <w:color w:val="1E293B"/>
        </w:rPr>
        <w:t>Tubik Studio Dark-Canvas web interface, Phantom wallet integration, and Dialect Actions endpoints.</w:t>
      </w:r>
    </w:p>
    <w:p w14:paraId="4E3BE00D" w14:textId="77777777" w:rsidR="00C6622E" w:rsidRDefault="00000000">
      <w:pPr>
        <w:spacing w:before="280" w:after="80"/>
      </w:pPr>
      <w:r>
        <w:rPr>
          <w:rFonts w:ascii="Arial" w:hAnsi="Arial"/>
          <w:b/>
          <w:color w:val="FF4B3A"/>
          <w:sz w:val="28"/>
        </w:rPr>
        <w:t>3.2 The Commitment State Machine</w:t>
      </w:r>
    </w:p>
    <w:tbl>
      <w:tblPr>
        <w:tblW w:w="0" w:type="auto"/>
        <w:jc w:val="center"/>
        <w:tblLayout w:type="fixed"/>
        <w:tblLook w:val="04A0" w:firstRow="1" w:lastRow="0" w:firstColumn="1" w:lastColumn="0" w:noHBand="0" w:noVBand="1"/>
      </w:tblPr>
      <w:tblGrid>
        <w:gridCol w:w="9360"/>
      </w:tblGrid>
      <w:tr w:rsidR="00C6622E" w14:paraId="61F13035" w14:textId="77777777">
        <w:trPr>
          <w:jc w:val="center"/>
        </w:trPr>
        <w:tc>
          <w:tcPr>
            <w:tcW w:w="9360" w:type="dxa"/>
            <w:shd w:val="clear" w:color="auto" w:fill="0F172A"/>
            <w:tcMar>
              <w:top w:w="120" w:type="dxa"/>
              <w:left w:w="180" w:type="dxa"/>
              <w:bottom w:w="120" w:type="dxa"/>
              <w:right w:w="180" w:type="dxa"/>
            </w:tcMar>
          </w:tcPr>
          <w:p w14:paraId="6A0F2451" w14:textId="77777777" w:rsidR="00C6622E" w:rsidRDefault="00000000">
            <w:pPr>
              <w:spacing w:before="40" w:after="40"/>
            </w:pPr>
            <w:r>
              <w:rPr>
                <w:rFonts w:ascii="Consolas" w:hAnsi="Consolas"/>
                <w:color w:val="E2E8F0"/>
                <w:sz w:val="19"/>
              </w:rPr>
              <w:t>[CREATED] ──(Deposit USDC via PDA)──► [FUNDED] ──► [ACTIVE]</w:t>
            </w:r>
            <w:r>
              <w:rPr>
                <w:rFonts w:ascii="Consolas" w:hAnsi="Consolas"/>
                <w:color w:val="E2E8F0"/>
                <w:sz w:val="19"/>
              </w:rPr>
              <w:br/>
              <w:t xml:space="preserve">                                                     │</w:t>
            </w:r>
            <w:r>
              <w:rPr>
                <w:rFonts w:ascii="Consolas" w:hAnsi="Consolas"/>
                <w:color w:val="E2E8F0"/>
                <w:sz w:val="19"/>
              </w:rPr>
              <w:br/>
              <w:t xml:space="preserve">                                      (Evidence Submitted)</w:t>
            </w:r>
            <w:r>
              <w:rPr>
                <w:rFonts w:ascii="Consolas" w:hAnsi="Consolas"/>
                <w:color w:val="E2E8F0"/>
                <w:sz w:val="19"/>
              </w:rPr>
              <w:br/>
              <w:t xml:space="preserve">                                                     ▼</w:t>
            </w:r>
            <w:r>
              <w:rPr>
                <w:rFonts w:ascii="Consolas" w:hAnsi="Consolas"/>
                <w:color w:val="E2E8F0"/>
                <w:sz w:val="19"/>
              </w:rPr>
              <w:br/>
              <w:t>[SETTLED] ◄──(Settle on Solana)── [VERIFIED] ◄── [PENDING_VERIFICATION]</w:t>
            </w:r>
            <w:r>
              <w:rPr>
                <w:rFonts w:ascii="Consolas" w:hAnsi="Consolas"/>
                <w:color w:val="E2E8F0"/>
                <w:sz w:val="19"/>
              </w:rPr>
              <w:br/>
              <w:t xml:space="preserve">    │</w:t>
            </w:r>
            <w:r>
              <w:rPr>
                <w:rFonts w:ascii="Consolas" w:hAnsi="Consolas"/>
                <w:color w:val="E2E8F0"/>
                <w:sz w:val="19"/>
              </w:rPr>
              <w:br/>
              <w:t xml:space="preserve">    └──► (Optional Challenge Window: [DISPUTED])</w:t>
            </w:r>
          </w:p>
        </w:tc>
      </w:tr>
    </w:tbl>
    <w:p w14:paraId="7CD359F6" w14:textId="77777777" w:rsidR="00C6622E" w:rsidRDefault="00C6622E">
      <w:pPr>
        <w:spacing w:after="80"/>
      </w:pPr>
    </w:p>
    <w:p w14:paraId="532F241C" w14:textId="77777777" w:rsidR="00C6622E" w:rsidRDefault="00000000">
      <w:pPr>
        <w:spacing w:before="440" w:after="120"/>
      </w:pPr>
      <w:r>
        <w:rPr>
          <w:rFonts w:ascii="Arial" w:hAnsi="Arial"/>
          <w:b/>
          <w:color w:val="0D1B2A"/>
          <w:sz w:val="36"/>
        </w:rPr>
        <w:t>4. DUAL STAKING ECONOMICS: HARDCORE VS. NO-LOSS VAULTS</w:t>
      </w:r>
    </w:p>
    <w:p w14:paraId="528915D2" w14:textId="77777777" w:rsidR="00C6622E" w:rsidRDefault="00000000">
      <w:pPr>
        <w:spacing w:before="280" w:after="80"/>
      </w:pPr>
      <w:r>
        <w:rPr>
          <w:rFonts w:ascii="Arial" w:hAnsi="Arial"/>
          <w:b/>
          <w:color w:val="FF4B3A"/>
          <w:sz w:val="28"/>
        </w:rPr>
        <w:t>4.1 Hardcore Principal Mode</w:t>
      </w:r>
    </w:p>
    <w:p w14:paraId="7016F659" w14:textId="77777777" w:rsidR="00C6622E" w:rsidRDefault="00000000">
      <w:pPr>
        <w:spacing w:after="120" w:line="288" w:lineRule="auto"/>
      </w:pPr>
      <w:r>
        <w:rPr>
          <w:rFonts w:ascii="Calibri" w:hAnsi="Calibri"/>
          <w:color w:val="1E293B"/>
        </w:rPr>
        <w:lastRenderedPageBreak/>
        <w:t>Hardcore Mode is designed for users who thrive under absolute pressure. The user deposits USDC directly into the Solana Escrow PDA. On success, 100% of the principal is returned minus a negligible oracle fee. On failure, 100% of the principal is slashed and routed to the designated consequence destination (e.g. The Water Project, Solana Climate Fund, or Staked Verifier Pool).</w:t>
      </w:r>
    </w:p>
    <w:p w14:paraId="3BF5A51A" w14:textId="77777777" w:rsidR="00C6622E" w:rsidRDefault="00000000">
      <w:pPr>
        <w:spacing w:before="280" w:after="80"/>
      </w:pPr>
      <w:r>
        <w:rPr>
          <w:rFonts w:ascii="Arial" w:hAnsi="Arial"/>
          <w:b/>
          <w:color w:val="FF4B3A"/>
          <w:sz w:val="28"/>
        </w:rPr>
        <w:t>4.2 No-Loss Yield Staking (The Churn Killer)</w:t>
      </w:r>
    </w:p>
    <w:p w14:paraId="59CB9828" w14:textId="77777777" w:rsidR="00C6622E" w:rsidRDefault="00000000">
      <w:pPr>
        <w:spacing w:after="120" w:line="288" w:lineRule="auto"/>
      </w:pPr>
      <w:r>
        <w:rPr>
          <w:rFonts w:ascii="Calibri" w:hAnsi="Calibri"/>
          <w:color w:val="1E293B"/>
        </w:rPr>
        <w:t>No-Loss Staking leverages decentralized lending protocols (such as Kamino Finance and MarginFi). The user's USDC principal is routed into a yield-generating lending vault. The principal balance remains 100% intact and non-slashable at all times.</w:t>
      </w:r>
      <w:r>
        <w:rPr>
          <w:rFonts w:ascii="Calibri" w:hAnsi="Calibri"/>
          <w:color w:val="1E293B"/>
        </w:rPr>
        <w:br/>
      </w:r>
      <w:r>
        <w:rPr>
          <w:rFonts w:ascii="Calibri" w:hAnsi="Calibri"/>
          <w:color w:val="1E293B"/>
        </w:rPr>
        <w:br/>
        <w:t>Mathematical Model:</w:t>
      </w:r>
      <w:r>
        <w:rPr>
          <w:rFonts w:ascii="Calibri" w:hAnsi="Calibri"/>
          <w:color w:val="1E293B"/>
        </w:rPr>
        <w:br/>
        <w:t>Let P be the initial deposited principal, r be the annualized vault yield (e.g. 8.5% APY), and t be the commitment duration in years. Total value at maturity: V_total = P + (P * r * t).</w:t>
      </w:r>
      <w:r>
        <w:rPr>
          <w:rFonts w:ascii="Calibri" w:hAnsi="Calibri"/>
          <w:color w:val="1E293B"/>
        </w:rPr>
        <w:br/>
        <w:t>• Outcome A (PASS): User receives P + (P * r * t) - Fee_oracle.</w:t>
      </w:r>
      <w:r>
        <w:rPr>
          <w:rFonts w:ascii="Calibri" w:hAnsi="Calibri"/>
          <w:color w:val="1E293B"/>
        </w:rPr>
        <w:br/>
        <w:t>• Outcome B (FAIL): User receives exactly P (100% principal returned safe). The accrued interest (P * r * t) is forfeited to the verifier pool.</w:t>
      </w:r>
    </w:p>
    <w:p w14:paraId="72991BD5" w14:textId="77777777" w:rsidR="00C6622E" w:rsidRDefault="00000000">
      <w:pPr>
        <w:spacing w:before="440" w:after="120"/>
      </w:pPr>
      <w:r>
        <w:rPr>
          <w:rFonts w:ascii="Arial" w:hAnsi="Arial"/>
          <w:b/>
          <w:color w:val="0D1B2A"/>
          <w:sz w:val="36"/>
        </w:rPr>
        <w:t>5. HOW TO VERIFY EVIDENCE &amp; USER SUBMISSIONS (DEEP DIVE)</w:t>
      </w:r>
    </w:p>
    <w:p w14:paraId="76CDAA65" w14:textId="77777777" w:rsidR="00C6622E" w:rsidRDefault="00000000">
      <w:pPr>
        <w:spacing w:after="120" w:line="288" w:lineRule="auto"/>
      </w:pPr>
      <w:r>
        <w:rPr>
          <w:rFonts w:ascii="Calibri" w:hAnsi="Calibri"/>
          <w:color w:val="1E293B"/>
        </w:rPr>
        <w:t>Verification is the heart of Commit Protocol. Without unshakeable verification, financial commitments degenerate into honor systems. The protocol provides three distinct verification engines tailored to software development, intellectual focus, and physical domestic tasks:</w:t>
      </w:r>
    </w:p>
    <w:p w14:paraId="4B0ED3CF" w14:textId="77777777" w:rsidR="00C6622E" w:rsidRDefault="00000000">
      <w:pPr>
        <w:spacing w:before="280" w:after="80"/>
      </w:pPr>
      <w:r>
        <w:rPr>
          <w:rFonts w:ascii="Arial" w:hAnsi="Arial"/>
          <w:b/>
          <w:color w:val="FF4B3A"/>
          <w:sz w:val="28"/>
        </w:rPr>
        <w:t>5.1 Verification Engine 1: Automated GitHub Verifier</w:t>
      </w:r>
    </w:p>
    <w:p w14:paraId="12E0946D" w14:textId="77777777" w:rsidR="00C6622E" w:rsidRDefault="00000000">
      <w:pPr>
        <w:spacing w:after="120" w:line="288" w:lineRule="auto"/>
      </w:pPr>
      <w:r>
        <w:rPr>
          <w:rFonts w:ascii="Calibri" w:hAnsi="Calibri"/>
          <w:color w:val="1E293B"/>
        </w:rPr>
        <w:t>Target: Shipping production code, open-source pull requests, engineering sprints.</w:t>
      </w:r>
    </w:p>
    <w:p w14:paraId="4CAAE679" w14:textId="77777777" w:rsidR="00C6622E" w:rsidRDefault="00000000">
      <w:pPr>
        <w:pStyle w:val="ListBullet"/>
        <w:spacing w:after="60"/>
      </w:pPr>
      <w:r>
        <w:rPr>
          <w:rFonts w:ascii="Calibri" w:hAnsi="Calibri"/>
          <w:b/>
          <w:color w:val="16191D"/>
        </w:rPr>
        <w:t xml:space="preserve">1. Commitment Registration: </w:t>
      </w:r>
      <w:r>
        <w:rPr>
          <w:rFonts w:ascii="Calibri" w:hAnsi="Calibri"/>
          <w:color w:val="1E293B"/>
        </w:rPr>
        <w:t>User registers the target GitHub repository (owner/repo) and required number of qualifying commits.</w:t>
      </w:r>
    </w:p>
    <w:p w14:paraId="535897BB" w14:textId="77777777" w:rsidR="00C6622E" w:rsidRDefault="00000000">
      <w:pPr>
        <w:pStyle w:val="ListBullet"/>
        <w:spacing w:after="60"/>
      </w:pPr>
      <w:r>
        <w:rPr>
          <w:rFonts w:ascii="Calibri" w:hAnsi="Calibri"/>
          <w:b/>
          <w:color w:val="16191D"/>
        </w:rPr>
        <w:t xml:space="preserve">2. API Extraction: </w:t>
      </w:r>
      <w:r>
        <w:rPr>
          <w:rFonts w:ascii="Calibri" w:hAnsi="Calibri"/>
          <w:color w:val="1E293B"/>
        </w:rPr>
        <w:t>The engine fetches commits via the GitHub API (/repos/{owner}/{repo}/commits) within the commitment timestamp window.</w:t>
      </w:r>
    </w:p>
    <w:p w14:paraId="08C1D0BB" w14:textId="77777777" w:rsidR="00C6622E" w:rsidRDefault="00000000">
      <w:pPr>
        <w:pStyle w:val="ListBullet"/>
        <w:spacing w:after="60"/>
      </w:pPr>
      <w:r>
        <w:rPr>
          <w:rFonts w:ascii="Calibri" w:hAnsi="Calibri"/>
          <w:b/>
          <w:color w:val="16191D"/>
        </w:rPr>
        <w:t xml:space="preserve">3. Anti-Fraud Filtering Engine: </w:t>
      </w:r>
      <w:r>
        <w:rPr>
          <w:rFonts w:ascii="Calibri" w:hAnsi="Calibri"/>
          <w:color w:val="1E293B"/>
        </w:rPr>
        <w:t>Three anti-fraud filters are enforced:</w:t>
      </w:r>
      <w:r>
        <w:rPr>
          <w:rFonts w:ascii="Calibri" w:hAnsi="Calibri"/>
          <w:color w:val="1E293B"/>
        </w:rPr>
        <w:br/>
        <w:t>• Filter A (Merge Commit Exclusion): Commits with more than 1 parent commit are filtered out.</w:t>
      </w:r>
      <w:r>
        <w:rPr>
          <w:rFonts w:ascii="Calibri" w:hAnsi="Calibri"/>
          <w:color w:val="1E293B"/>
        </w:rPr>
        <w:br/>
        <w:t>• Filter B (SHA Deduplication): Every 40-character Git SHA must be unique.</w:t>
      </w:r>
      <w:r>
        <w:rPr>
          <w:rFonts w:ascii="Calibri" w:hAnsi="Calibri"/>
          <w:color w:val="1E293B"/>
        </w:rPr>
        <w:br/>
        <w:t>• Filter C (Author Matching): Author/committer login must match the user's verified GitHub identity.</w:t>
      </w:r>
    </w:p>
    <w:p w14:paraId="0E7149B6" w14:textId="77777777" w:rsidR="00C6622E" w:rsidRDefault="00000000">
      <w:pPr>
        <w:pStyle w:val="ListBullet"/>
        <w:spacing w:after="60"/>
      </w:pPr>
      <w:r>
        <w:rPr>
          <w:rFonts w:ascii="Calibri" w:hAnsi="Calibri"/>
          <w:b/>
          <w:color w:val="16191D"/>
        </w:rPr>
        <w:t xml:space="preserve">4. Evidence Hashing: </w:t>
      </w:r>
      <w:r>
        <w:rPr>
          <w:rFonts w:ascii="Calibri" w:hAnsi="Calibri"/>
          <w:color w:val="1E293B"/>
        </w:rPr>
        <w:t>The verified SHAs are serialized and digested via SHA-256 into a canonical evidence hash.</w:t>
      </w:r>
    </w:p>
    <w:p w14:paraId="2B25924D" w14:textId="77777777" w:rsidR="00C6622E" w:rsidRDefault="00000000">
      <w:pPr>
        <w:pStyle w:val="ListBullet"/>
        <w:spacing w:after="60"/>
      </w:pPr>
      <w:r>
        <w:rPr>
          <w:rFonts w:ascii="Calibri" w:hAnsi="Calibri"/>
          <w:b/>
          <w:color w:val="16191D"/>
        </w:rPr>
        <w:t xml:space="preserve">5. Attestation Generation: </w:t>
      </w:r>
      <w:r>
        <w:rPr>
          <w:rFonts w:ascii="Calibri" w:hAnsi="Calibri"/>
          <w:color w:val="1E293B"/>
        </w:rPr>
        <w:t>If valid_commits &gt;= required, emits GH_PASS; otherwise emits GH_FAIL. Signed with Oracle Ed25519 key.</w:t>
      </w:r>
    </w:p>
    <w:p w14:paraId="5B6A5CE0" w14:textId="77777777" w:rsidR="00C6622E" w:rsidRDefault="00000000">
      <w:pPr>
        <w:spacing w:before="280" w:after="80"/>
      </w:pPr>
      <w:r>
        <w:rPr>
          <w:rFonts w:ascii="Arial" w:hAnsi="Arial"/>
          <w:b/>
          <w:color w:val="FF4B3A"/>
          <w:sz w:val="28"/>
        </w:rPr>
        <w:lastRenderedPageBreak/>
        <w:t>5.2 Verification Engine 2: Deep Work &amp; Focus Studio Verifier</w:t>
      </w:r>
    </w:p>
    <w:p w14:paraId="1A79F377" w14:textId="77777777" w:rsidR="00C6622E" w:rsidRDefault="00000000">
      <w:pPr>
        <w:spacing w:after="120" w:line="288" w:lineRule="auto"/>
      </w:pPr>
      <w:r>
        <w:rPr>
          <w:rFonts w:ascii="Calibri" w:hAnsi="Calibri"/>
          <w:color w:val="1E293B"/>
        </w:rPr>
        <w:t>Target: Study sessions, dissertation research, deep reading, uninterrupted coding.</w:t>
      </w:r>
    </w:p>
    <w:p w14:paraId="537DD9E5" w14:textId="77777777" w:rsidR="00C6622E" w:rsidRDefault="00000000">
      <w:pPr>
        <w:pStyle w:val="ListBullet"/>
        <w:spacing w:after="60"/>
      </w:pPr>
      <w:r>
        <w:rPr>
          <w:rFonts w:ascii="Calibri" w:hAnsi="Calibri"/>
          <w:b/>
          <w:color w:val="16191D"/>
        </w:rPr>
        <w:t xml:space="preserve">1. Session Initialization &amp; Nonce Issuance: </w:t>
      </w:r>
      <w:r>
        <w:rPr>
          <w:rFonts w:ascii="Calibri" w:hAnsi="Calibri"/>
          <w:color w:val="1E293B"/>
        </w:rPr>
        <w:t>Client requests focus session start. Server emits initial 32-byte cryptographic challenge nonce.</w:t>
      </w:r>
    </w:p>
    <w:p w14:paraId="1E1D12D7" w14:textId="77777777" w:rsidR="00C6622E" w:rsidRDefault="00000000">
      <w:pPr>
        <w:pStyle w:val="ListBullet"/>
        <w:spacing w:after="60"/>
      </w:pPr>
      <w:r>
        <w:rPr>
          <w:rFonts w:ascii="Calibri" w:hAnsi="Calibri"/>
          <w:b/>
          <w:color w:val="16191D"/>
        </w:rPr>
        <w:t xml:space="preserve">2. Live Heartbeat Cadence: </w:t>
      </w:r>
      <w:r>
        <w:rPr>
          <w:rFonts w:ascii="Calibri" w:hAnsi="Calibri"/>
          <w:color w:val="1E293B"/>
        </w:rPr>
        <w:t>Client emits heartbeat POST every 10 seconds returning the active nonce.</w:t>
      </w:r>
    </w:p>
    <w:p w14:paraId="5C68841E" w14:textId="77777777" w:rsidR="00C6622E" w:rsidRDefault="00000000">
      <w:pPr>
        <w:pStyle w:val="ListBullet"/>
        <w:spacing w:after="60"/>
      </w:pPr>
      <w:r>
        <w:rPr>
          <w:rFonts w:ascii="Calibri" w:hAnsi="Calibri"/>
          <w:b/>
          <w:color w:val="16191D"/>
        </w:rPr>
        <w:t xml:space="preserve">3. Cryptographic Nonce Rotation: </w:t>
      </w:r>
      <w:r>
        <w:rPr>
          <w:rFonts w:ascii="Calibri" w:hAnsi="Calibri"/>
          <w:color w:val="1E293B"/>
        </w:rPr>
        <w:t>Server verifies nonce. If valid, accumulates 10 active seconds and rotates nonce to a brand-new 32-byte random value. Replaying old nonces is rejected with HTTP 403.</w:t>
      </w:r>
    </w:p>
    <w:p w14:paraId="30A14DB6" w14:textId="77777777" w:rsidR="00C6622E" w:rsidRDefault="00000000">
      <w:pPr>
        <w:pStyle w:val="ListBullet"/>
        <w:spacing w:after="60"/>
      </w:pPr>
      <w:r>
        <w:rPr>
          <w:rFonts w:ascii="Calibri" w:hAnsi="Calibri"/>
          <w:b/>
          <w:color w:val="16191D"/>
        </w:rPr>
        <w:t xml:space="preserve">4. Tab Blur Detection: </w:t>
      </w:r>
      <w:r>
        <w:rPr>
          <w:rFonts w:ascii="Calibri" w:hAnsi="Calibri"/>
          <w:color w:val="1E293B"/>
        </w:rPr>
        <w:t>HTML5 Visibility API tracks tab switches. Minimizing or switching tabs pauses accumulation on the server.</w:t>
      </w:r>
    </w:p>
    <w:p w14:paraId="372F1EA7" w14:textId="77777777" w:rsidR="00C6622E" w:rsidRDefault="00000000">
      <w:pPr>
        <w:pStyle w:val="ListBullet"/>
        <w:spacing w:after="60"/>
      </w:pPr>
      <w:r>
        <w:rPr>
          <w:rFonts w:ascii="Calibri" w:hAnsi="Calibri"/>
          <w:b/>
          <w:color w:val="16191D"/>
        </w:rPr>
        <w:t xml:space="preserve">5. Attestation Generation: </w:t>
      </w:r>
      <w:r>
        <w:rPr>
          <w:rFonts w:ascii="Calibri" w:hAnsi="Calibri"/>
          <w:color w:val="1E293B"/>
        </w:rPr>
        <w:t>Upon timer completion, if active_seconds &gt;= required_seconds, emits signed STUDY_PASS attestation.</w:t>
      </w:r>
    </w:p>
    <w:p w14:paraId="25B7B6D9" w14:textId="77777777" w:rsidR="00C6622E" w:rsidRDefault="00000000">
      <w:pPr>
        <w:spacing w:before="280" w:after="80"/>
      </w:pPr>
      <w:r>
        <w:rPr>
          <w:rFonts w:ascii="Arial" w:hAnsi="Arial"/>
          <w:b/>
          <w:color w:val="FF4B3A"/>
          <w:sz w:val="28"/>
        </w:rPr>
        <w:t>5.3 Verification Engine 3: Decentralized Remote Peer Consensus (Physical Goals)</w:t>
      </w:r>
    </w:p>
    <w:p w14:paraId="13EE75EE" w14:textId="77777777" w:rsidR="00C6622E" w:rsidRDefault="00000000">
      <w:pPr>
        <w:spacing w:after="120" w:line="288" w:lineRule="auto"/>
      </w:pPr>
      <w:r>
        <w:rPr>
          <w:rFonts w:ascii="Calibri" w:hAnsi="Calibri"/>
          <w:color w:val="1E293B"/>
        </w:rPr>
        <w:t>Target: Gym workouts, laboratory organization, reading physical books, waking up early.</w:t>
      </w:r>
    </w:p>
    <w:tbl>
      <w:tblPr>
        <w:tblW w:w="0" w:type="auto"/>
        <w:jc w:val="center"/>
        <w:tblLayout w:type="fixed"/>
        <w:tblLook w:val="04A0" w:firstRow="1" w:lastRow="0" w:firstColumn="1" w:lastColumn="0" w:noHBand="0" w:noVBand="1"/>
      </w:tblPr>
      <w:tblGrid>
        <w:gridCol w:w="9360"/>
      </w:tblGrid>
      <w:tr w:rsidR="00C6622E" w14:paraId="29B231C3" w14:textId="77777777">
        <w:trPr>
          <w:jc w:val="center"/>
        </w:trPr>
        <w:tc>
          <w:tcPr>
            <w:tcW w:w="9360" w:type="dxa"/>
            <w:tcBorders>
              <w:left w:val="single" w:sz="36" w:space="0" w:color="F2BA52"/>
            </w:tcBorders>
            <w:shd w:val="clear" w:color="auto" w:fill="F8FAFC"/>
            <w:tcMar>
              <w:top w:w="140" w:type="dxa"/>
              <w:left w:w="200" w:type="dxa"/>
              <w:bottom w:w="140" w:type="dxa"/>
              <w:right w:w="180" w:type="dxa"/>
            </w:tcMar>
          </w:tcPr>
          <w:p w14:paraId="3E2EEFCC" w14:textId="77777777" w:rsidR="00C6622E" w:rsidRDefault="00000000">
            <w:pPr>
              <w:spacing w:before="80" w:after="80"/>
            </w:pPr>
            <w:r>
              <w:rPr>
                <w:rFonts w:ascii="Arial" w:hAnsi="Arial"/>
                <w:b/>
                <w:color w:val="0D1B2A"/>
              </w:rPr>
              <w:t>THE DYNAMIC SOLANA BLOCKHASH CHALLENGE PROTOCOL</w:t>
            </w:r>
            <w:r>
              <w:rPr>
                <w:rFonts w:ascii="Arial" w:hAnsi="Arial"/>
                <w:b/>
                <w:color w:val="0D1B2A"/>
              </w:rPr>
              <w:br/>
            </w:r>
            <w:r>
              <w:rPr>
                <w:rFonts w:ascii="Calibri" w:hAnsi="Calibri"/>
                <w:color w:val="334155"/>
                <w:sz w:val="21"/>
              </w:rPr>
              <w:t>1. Live Blockhash Query: Server queries Solana Devnet for latest blockhash, creating a dynamic challenge (e.g. SOL-7Z8z9x).</w:t>
            </w:r>
            <w:r>
              <w:rPr>
                <w:rFonts w:ascii="Calibri" w:hAnsi="Calibri"/>
                <w:color w:val="334155"/>
                <w:sz w:val="21"/>
              </w:rPr>
              <w:br/>
              <w:t>2. Mandatory Physical Presence: User must visibly display this code in their proof photo/video.</w:t>
            </w:r>
            <w:r>
              <w:rPr>
                <w:rFonts w:ascii="Calibri" w:hAnsi="Calibri"/>
                <w:color w:val="334155"/>
                <w:sz w:val="21"/>
              </w:rPr>
              <w:br/>
              <w:t>3. Anti-Replay Guarantee: Blockhashes change every 400ms, making pre-recorded or stock photos mathematically impossible!</w:t>
            </w:r>
          </w:p>
        </w:tc>
      </w:tr>
    </w:tbl>
    <w:p w14:paraId="342BD8B6" w14:textId="77777777" w:rsidR="00C6622E" w:rsidRDefault="00C6622E">
      <w:pPr>
        <w:spacing w:after="80"/>
      </w:pPr>
    </w:p>
    <w:p w14:paraId="112593EA" w14:textId="77777777" w:rsidR="00C6622E" w:rsidRDefault="00000000">
      <w:pPr>
        <w:pStyle w:val="ListBullet"/>
        <w:spacing w:after="60"/>
      </w:pPr>
      <w:r>
        <w:rPr>
          <w:rFonts w:ascii="Calibri" w:hAnsi="Calibri"/>
          <w:b/>
          <w:color w:val="16191D"/>
        </w:rPr>
        <w:t xml:space="preserve">1. Evidence Dispatch: </w:t>
      </w:r>
      <w:r>
        <w:rPr>
          <w:rFonts w:ascii="Calibri" w:hAnsi="Calibri"/>
          <w:color w:val="1E293B"/>
        </w:rPr>
        <w:t>User submits photo containing the physical blockhash code to the Peer Verifier Portal.</w:t>
      </w:r>
    </w:p>
    <w:p w14:paraId="69A82AA8" w14:textId="77777777" w:rsidR="00C6622E" w:rsidRDefault="00000000">
      <w:pPr>
        <w:pStyle w:val="ListBullet"/>
        <w:spacing w:after="60"/>
      </w:pPr>
      <w:r>
        <w:rPr>
          <w:rFonts w:ascii="Calibri" w:hAnsi="Calibri"/>
          <w:b/>
          <w:color w:val="16191D"/>
        </w:rPr>
        <w:t xml:space="preserve">2. Staked Verifier Assignment: </w:t>
      </w:r>
      <w:r>
        <w:rPr>
          <w:rFonts w:ascii="Calibri" w:hAnsi="Calibri"/>
          <w:color w:val="1E293B"/>
        </w:rPr>
        <w:t>Three independent staked verifiers are assigned from the verifier registry.</w:t>
      </w:r>
    </w:p>
    <w:p w14:paraId="73796723" w14:textId="77777777" w:rsidR="00C6622E" w:rsidRDefault="00000000">
      <w:pPr>
        <w:pStyle w:val="ListBullet"/>
        <w:spacing w:after="60"/>
      </w:pPr>
      <w:r>
        <w:rPr>
          <w:rFonts w:ascii="Calibri" w:hAnsi="Calibri"/>
          <w:b/>
          <w:color w:val="16191D"/>
        </w:rPr>
        <w:t xml:space="preserve">3. Tripartite Review: </w:t>
      </w:r>
      <w:r>
        <w:rPr>
          <w:rFonts w:ascii="Calibri" w:hAnsi="Calibri"/>
          <w:color w:val="1E293B"/>
        </w:rPr>
        <w:t>Verifiers check: (a) Task quality, (b) Blockhash code accuracy, (c) Absence of photo manipulation.</w:t>
      </w:r>
    </w:p>
    <w:p w14:paraId="1376B070" w14:textId="77777777" w:rsidR="00C6622E" w:rsidRDefault="00000000">
      <w:pPr>
        <w:pStyle w:val="ListBullet"/>
        <w:spacing w:after="60"/>
      </w:pPr>
      <w:r>
        <w:rPr>
          <w:rFonts w:ascii="Calibri" w:hAnsi="Calibri"/>
          <w:b/>
          <w:color w:val="16191D"/>
        </w:rPr>
        <w:t xml:space="preserve">4. Cryptographic Voting: </w:t>
      </w:r>
      <w:r>
        <w:rPr>
          <w:rFonts w:ascii="Calibri" w:hAnsi="Calibri"/>
          <w:color w:val="1E293B"/>
        </w:rPr>
        <w:t>Verifiers cast votes (PASS or FAIL). Sybil checks reject duplicate or unregistered votes.</w:t>
      </w:r>
    </w:p>
    <w:p w14:paraId="4B5B82F1" w14:textId="77777777" w:rsidR="00C6622E" w:rsidRDefault="00000000">
      <w:pPr>
        <w:pStyle w:val="ListBullet"/>
        <w:spacing w:after="60"/>
      </w:pPr>
      <w:r>
        <w:rPr>
          <w:rFonts w:ascii="Calibri" w:hAnsi="Calibri"/>
          <w:b/>
          <w:color w:val="16191D"/>
        </w:rPr>
        <w:t xml:space="preserve">5. Consensus Resolution: </w:t>
      </w:r>
      <w:r>
        <w:rPr>
          <w:rFonts w:ascii="Calibri" w:hAnsi="Calibri"/>
          <w:color w:val="1E293B"/>
        </w:rPr>
        <w:t>2 matching votes trigger consensus (2-of-3 threshold). Oracle signs canonical HUMAN_PASS/HUMAN_FAIL attestation.</w:t>
      </w:r>
    </w:p>
    <w:p w14:paraId="10BB319E" w14:textId="77777777" w:rsidR="00C6622E" w:rsidRDefault="00000000">
      <w:pPr>
        <w:spacing w:before="440" w:after="120"/>
      </w:pPr>
      <w:r>
        <w:rPr>
          <w:rFonts w:ascii="Arial" w:hAnsi="Arial"/>
          <w:b/>
          <w:color w:val="0D1B2A"/>
          <w:sz w:val="36"/>
        </w:rPr>
        <w:t>6. CRYPTOGRAPHIC ATTESTATIONS &amp; SMART CONTRACT SETTLEMENT</w:t>
      </w:r>
    </w:p>
    <w:p w14:paraId="786B3A9C" w14:textId="77777777" w:rsidR="00C6622E" w:rsidRDefault="00000000">
      <w:pPr>
        <w:spacing w:before="280" w:after="80"/>
      </w:pPr>
      <w:r>
        <w:rPr>
          <w:rFonts w:ascii="Arial" w:hAnsi="Arial"/>
          <w:b/>
          <w:color w:val="FF4B3A"/>
          <w:sz w:val="28"/>
        </w:rPr>
        <w:lastRenderedPageBreak/>
        <w:t>6.1 Canonical Attestation Schema</w:t>
      </w:r>
    </w:p>
    <w:tbl>
      <w:tblPr>
        <w:tblW w:w="0" w:type="auto"/>
        <w:jc w:val="center"/>
        <w:tblLayout w:type="fixed"/>
        <w:tblLook w:val="04A0" w:firstRow="1" w:lastRow="0" w:firstColumn="1" w:lastColumn="0" w:noHBand="0" w:noVBand="1"/>
      </w:tblPr>
      <w:tblGrid>
        <w:gridCol w:w="9360"/>
      </w:tblGrid>
      <w:tr w:rsidR="00C6622E" w14:paraId="57BC4329" w14:textId="77777777">
        <w:trPr>
          <w:jc w:val="center"/>
        </w:trPr>
        <w:tc>
          <w:tcPr>
            <w:tcW w:w="9360" w:type="dxa"/>
            <w:shd w:val="clear" w:color="auto" w:fill="0F172A"/>
            <w:tcMar>
              <w:top w:w="120" w:type="dxa"/>
              <w:left w:w="180" w:type="dxa"/>
              <w:bottom w:w="120" w:type="dxa"/>
              <w:right w:w="180" w:type="dxa"/>
            </w:tcMar>
          </w:tcPr>
          <w:p w14:paraId="44B46610" w14:textId="77777777" w:rsidR="00C6622E" w:rsidRDefault="00000000">
            <w:pPr>
              <w:spacing w:before="40" w:after="40"/>
            </w:pPr>
            <w:r>
              <w:rPr>
                <w:rFonts w:ascii="Consolas" w:hAnsi="Consolas"/>
                <w:color w:val="E2E8F0"/>
                <w:sz w:val="19"/>
              </w:rPr>
              <w:t>{</w:t>
            </w:r>
            <w:r>
              <w:rPr>
                <w:rFonts w:ascii="Consolas" w:hAnsi="Consolas"/>
                <w:color w:val="E2E8F0"/>
                <w:sz w:val="19"/>
              </w:rPr>
              <w:br/>
              <w:t xml:space="preserve">  "commitmentId": "cm_78c24e8b",</w:t>
            </w:r>
            <w:r>
              <w:rPr>
                <w:rFonts w:ascii="Consolas" w:hAnsi="Consolas"/>
                <w:color w:val="E2E8F0"/>
                <w:sz w:val="19"/>
              </w:rPr>
              <w:br/>
              <w:t xml:space="preserve">  "walletAddress": "H4cKYiX7...3111",</w:t>
            </w:r>
            <w:r>
              <w:rPr>
                <w:rFonts w:ascii="Consolas" w:hAnsi="Consolas"/>
                <w:color w:val="E2E8F0"/>
                <w:sz w:val="19"/>
              </w:rPr>
              <w:br/>
              <w:t xml:space="preserve">  "verifierType": "github",</w:t>
            </w:r>
            <w:r>
              <w:rPr>
                <w:rFonts w:ascii="Consolas" w:hAnsi="Consolas"/>
                <w:color w:val="E2E8F0"/>
                <w:sz w:val="19"/>
              </w:rPr>
              <w:br/>
              <w:t xml:space="preserve">  "resultCode": "GH_PASS",</w:t>
            </w:r>
            <w:r>
              <w:rPr>
                <w:rFonts w:ascii="Consolas" w:hAnsi="Consolas"/>
                <w:color w:val="E2E8F0"/>
                <w:sz w:val="19"/>
              </w:rPr>
              <w:br/>
              <w:t xml:space="preserve">  "isSuccessful": true,</w:t>
            </w:r>
            <w:r>
              <w:rPr>
                <w:rFonts w:ascii="Consolas" w:hAnsi="Consolas"/>
                <w:color w:val="E2E8F0"/>
                <w:sz w:val="19"/>
              </w:rPr>
              <w:br/>
              <w:t xml:space="preserve">  "verifiedMetric": 5,</w:t>
            </w:r>
            <w:r>
              <w:rPr>
                <w:rFonts w:ascii="Consolas" w:hAnsi="Consolas"/>
                <w:color w:val="E2E8F0"/>
                <w:sz w:val="19"/>
              </w:rPr>
              <w:br/>
              <w:t xml:space="preserve">  "requiredMetric": 5,</w:t>
            </w:r>
            <w:r>
              <w:rPr>
                <w:rFonts w:ascii="Consolas" w:hAnsi="Consolas"/>
                <w:color w:val="E2E8F0"/>
                <w:sz w:val="19"/>
              </w:rPr>
              <w:br/>
              <w:t xml:space="preserve">  "evidenceHash": "e3b0c44298fc1c149afbf4c8996fb92427ae41e4649b934ca495991b7852b855",</w:t>
            </w:r>
            <w:r>
              <w:rPr>
                <w:rFonts w:ascii="Consolas" w:hAnsi="Consolas"/>
                <w:color w:val="E2E8F0"/>
                <w:sz w:val="19"/>
              </w:rPr>
              <w:br/>
              <w:t xml:space="preserve">  "timestamp": 1730000000,</w:t>
            </w:r>
            <w:r>
              <w:rPr>
                <w:rFonts w:ascii="Consolas" w:hAnsi="Consolas"/>
                <w:color w:val="E2E8F0"/>
                <w:sz w:val="19"/>
              </w:rPr>
              <w:br/>
              <w:t xml:space="preserve">  "oraclePubkey": "OracleEd25519PubKey111111111111111111111111111",</w:t>
            </w:r>
            <w:r>
              <w:rPr>
                <w:rFonts w:ascii="Consolas" w:hAnsi="Consolas"/>
                <w:color w:val="E2E8F0"/>
                <w:sz w:val="19"/>
              </w:rPr>
              <w:br/>
              <w:t xml:space="preserve">  "signature": "3u2Nvy...Base58Ed25519Signature..."</w:t>
            </w:r>
            <w:r>
              <w:rPr>
                <w:rFonts w:ascii="Consolas" w:hAnsi="Consolas"/>
                <w:color w:val="E2E8F0"/>
                <w:sz w:val="19"/>
              </w:rPr>
              <w:br/>
              <w:t>}</w:t>
            </w:r>
          </w:p>
        </w:tc>
      </w:tr>
    </w:tbl>
    <w:p w14:paraId="6C696371" w14:textId="77777777" w:rsidR="00C6622E" w:rsidRDefault="00C6622E">
      <w:pPr>
        <w:spacing w:after="80"/>
      </w:pPr>
    </w:p>
    <w:p w14:paraId="2218E74E" w14:textId="77777777" w:rsidR="00C6622E" w:rsidRDefault="00000000">
      <w:pPr>
        <w:spacing w:before="280" w:after="80"/>
      </w:pPr>
      <w:r>
        <w:rPr>
          <w:rFonts w:ascii="Arial" w:hAnsi="Arial"/>
          <w:b/>
          <w:color w:val="FF4B3A"/>
          <w:sz w:val="28"/>
        </w:rPr>
        <w:t>6.2 Solana Anchor On-Chain Settlement Instruction</w:t>
      </w:r>
    </w:p>
    <w:p w14:paraId="306E5B8D" w14:textId="77777777" w:rsidR="00C6622E" w:rsidRDefault="00000000">
      <w:pPr>
        <w:spacing w:after="120" w:line="288" w:lineRule="auto"/>
      </w:pPr>
      <w:r>
        <w:rPr>
          <w:rFonts w:ascii="Calibri" w:hAnsi="Calibri"/>
          <w:color w:val="1E293B"/>
        </w:rPr>
        <w:t>The Anchor Rust program (programs/commit-protocol/src/lib.rs) executes the settle_commitment instruction:</w:t>
      </w:r>
      <w:r>
        <w:rPr>
          <w:rFonts w:ascii="Calibri" w:hAnsi="Calibri"/>
          <w:color w:val="1E293B"/>
        </w:rPr>
        <w:br/>
        <w:t>• Ed25519 Precompile Validation: Verifies that the Oracle signature matches protocol authority.</w:t>
      </w:r>
      <w:r>
        <w:rPr>
          <w:rFonts w:ascii="Calibri" w:hAnsi="Calibri"/>
          <w:color w:val="1E293B"/>
        </w:rPr>
        <w:br/>
        <w:t>• Idempotency Check: Ensures commitment PDA has not been settled previously.</w:t>
      </w:r>
      <w:r>
        <w:rPr>
          <w:rFonts w:ascii="Calibri" w:hAnsi="Calibri"/>
          <w:color w:val="1E293B"/>
        </w:rPr>
        <w:br/>
        <w:t>• Token Transfer CPI: Returns principal on success or routes slashed funds on failure.</w:t>
      </w:r>
      <w:r>
        <w:rPr>
          <w:rFonts w:ascii="Calibri" w:hAnsi="Calibri"/>
          <w:color w:val="1E293B"/>
        </w:rPr>
        <w:br/>
        <w:t>• State Finalization: Sets status to SETTLED and closes escrow vault.</w:t>
      </w:r>
    </w:p>
    <w:p w14:paraId="14BAFD40" w14:textId="77777777" w:rsidR="00C6622E" w:rsidRDefault="00000000">
      <w:pPr>
        <w:spacing w:before="440" w:after="120"/>
      </w:pPr>
      <w:r>
        <w:rPr>
          <w:rFonts w:ascii="Arial" w:hAnsi="Arial"/>
          <w:b/>
          <w:color w:val="0D1B2A"/>
          <w:sz w:val="36"/>
        </w:rPr>
        <w:t>7. SUPABASE BACKEND, POSTGRESQL &amp; ROW LEVEL SECURITY (RLS)</w:t>
      </w:r>
    </w:p>
    <w:p w14:paraId="64924F99" w14:textId="77777777" w:rsidR="00C6622E" w:rsidRDefault="00000000">
      <w:pPr>
        <w:spacing w:after="120" w:line="288" w:lineRule="auto"/>
      </w:pPr>
      <w:r>
        <w:rPr>
          <w:rFonts w:ascii="Calibri" w:hAnsi="Calibri"/>
          <w:color w:val="1E293B"/>
        </w:rPr>
        <w:t>Commit Protocol utilizes a production Supabase infrastructure enforcing zero-trust database security:</w:t>
      </w:r>
      <w:r>
        <w:rPr>
          <w:rFonts w:ascii="Calibri" w:hAnsi="Calibri"/>
          <w:color w:val="1E293B"/>
        </w:rPr>
        <w:br/>
        <w:t>• Role-Based Access Control (RBAC): Defines Creator, Verifier, Achiever, and Admin roles.</w:t>
      </w:r>
      <w:r>
        <w:rPr>
          <w:rFonts w:ascii="Calibri" w:hAnsi="Calibri"/>
          <w:color w:val="1E293B"/>
        </w:rPr>
        <w:br/>
        <w:t>• Row Level Security (RLS): Users only query and modify their own commitments; verifiers only access active reviews.</w:t>
      </w:r>
      <w:r>
        <w:rPr>
          <w:rFonts w:ascii="Calibri" w:hAnsi="Calibri"/>
          <w:color w:val="1E293B"/>
        </w:rPr>
        <w:br/>
        <w:t>• Immutable Audit Trail: Critical events (signups, logins, wallet binding, votes) are permanently logged.</w:t>
      </w:r>
    </w:p>
    <w:p w14:paraId="5C048822" w14:textId="77777777" w:rsidR="00C6622E" w:rsidRDefault="00000000">
      <w:pPr>
        <w:spacing w:before="440" w:after="120"/>
      </w:pPr>
      <w:r>
        <w:rPr>
          <w:rFonts w:ascii="Arial" w:hAnsi="Arial"/>
          <w:b/>
          <w:color w:val="0D1B2A"/>
          <w:sz w:val="36"/>
        </w:rPr>
        <w:t>8. ADVERSARIAL DEFENSE &amp; SECURITY AUDIT RESULTS</w:t>
      </w:r>
    </w:p>
    <w:p w14:paraId="34E75B3E" w14:textId="77777777" w:rsidR="00C6622E" w:rsidRDefault="00000000">
      <w:pPr>
        <w:spacing w:after="120" w:line="288" w:lineRule="auto"/>
      </w:pPr>
      <w:r>
        <w:rPr>
          <w:rFonts w:ascii="Calibri" w:hAnsi="Calibri"/>
          <w:color w:val="1E293B"/>
        </w:rPr>
        <w:t>The protocol defends against 15 brutal attack vectors tested across automated suites:</w:t>
      </w:r>
    </w:p>
    <w:p w14:paraId="2AA419AA" w14:textId="77777777" w:rsidR="00C6622E" w:rsidRDefault="00000000">
      <w:pPr>
        <w:pStyle w:val="ListBullet"/>
        <w:spacing w:after="60"/>
      </w:pPr>
      <w:r>
        <w:rPr>
          <w:rFonts w:ascii="Calibri" w:hAnsi="Calibri"/>
          <w:b/>
          <w:color w:val="16191D"/>
        </w:rPr>
        <w:t xml:space="preserve">1. Signature Tampering (FAIL -&gt; PASS): </w:t>
      </w:r>
      <w:r>
        <w:rPr>
          <w:rFonts w:ascii="Calibri" w:hAnsi="Calibri"/>
          <w:color w:val="1E293B"/>
        </w:rPr>
        <w:t>DEFENDED: Ed25519 signature check fails; payload rejected.</w:t>
      </w:r>
    </w:p>
    <w:p w14:paraId="747954D0" w14:textId="77777777" w:rsidR="00C6622E" w:rsidRDefault="00000000">
      <w:pPr>
        <w:pStyle w:val="ListBullet"/>
        <w:spacing w:after="60"/>
      </w:pPr>
      <w:r>
        <w:rPr>
          <w:rFonts w:ascii="Calibri" w:hAnsi="Calibri"/>
          <w:b/>
          <w:color w:val="16191D"/>
        </w:rPr>
        <w:t xml:space="preserve">2. Wallet Address Spoofing: </w:t>
      </w:r>
      <w:r>
        <w:rPr>
          <w:rFonts w:ascii="Calibri" w:hAnsi="Calibri"/>
          <w:color w:val="1E293B"/>
        </w:rPr>
        <w:t>DEFENDED: Signature validation fails; unauthorized payout aborts.</w:t>
      </w:r>
    </w:p>
    <w:p w14:paraId="6DB7A965" w14:textId="77777777" w:rsidR="00C6622E" w:rsidRDefault="00000000">
      <w:pPr>
        <w:pStyle w:val="ListBullet"/>
        <w:spacing w:after="60"/>
      </w:pPr>
      <w:r>
        <w:rPr>
          <w:rFonts w:ascii="Calibri" w:hAnsi="Calibri"/>
          <w:b/>
          <w:color w:val="16191D"/>
        </w:rPr>
        <w:lastRenderedPageBreak/>
        <w:t xml:space="preserve">3. Timer Nonce Hijacking &amp; Replay: </w:t>
      </w:r>
      <w:r>
        <w:rPr>
          <w:rFonts w:ascii="Calibri" w:hAnsi="Calibri"/>
          <w:color w:val="1E293B"/>
        </w:rPr>
        <w:t>DEFENDED: Server detects expired nonce; HTTP 403 emitted.</w:t>
      </w:r>
    </w:p>
    <w:p w14:paraId="39EA6F05" w14:textId="77777777" w:rsidR="00C6622E" w:rsidRDefault="00000000">
      <w:pPr>
        <w:pStyle w:val="ListBullet"/>
        <w:spacing w:after="60"/>
      </w:pPr>
      <w:r>
        <w:rPr>
          <w:rFonts w:ascii="Calibri" w:hAnsi="Calibri"/>
          <w:b/>
          <w:color w:val="16191D"/>
        </w:rPr>
        <w:t xml:space="preserve">4. Peer Consensus Sybil Voting: </w:t>
      </w:r>
      <w:r>
        <w:rPr>
          <w:rFonts w:ascii="Calibri" w:hAnsi="Calibri"/>
          <w:color w:val="1E293B"/>
        </w:rPr>
        <w:t>DEFENDED: Duplicate verifier ID rejected; voter weight strictly 1.</w:t>
      </w:r>
    </w:p>
    <w:p w14:paraId="71B1D8DF" w14:textId="77777777" w:rsidR="00C6622E" w:rsidRDefault="00000000">
      <w:pPr>
        <w:pStyle w:val="ListBullet"/>
        <w:spacing w:after="60"/>
      </w:pPr>
      <w:r>
        <w:rPr>
          <w:rFonts w:ascii="Calibri" w:hAnsi="Calibri"/>
          <w:b/>
          <w:color w:val="16191D"/>
        </w:rPr>
        <w:t xml:space="preserve">5. Git Merge Commit Forgery: </w:t>
      </w:r>
      <w:r>
        <w:rPr>
          <w:rFonts w:ascii="Calibri" w:hAnsi="Calibri"/>
          <w:color w:val="1E293B"/>
        </w:rPr>
        <w:t>DEFENDED: Parent count &gt; 1 filtered; 0 metric credit awarded.</w:t>
      </w:r>
    </w:p>
    <w:p w14:paraId="4ED9DCD8" w14:textId="77777777" w:rsidR="00C6622E" w:rsidRDefault="00000000">
      <w:pPr>
        <w:pStyle w:val="ListBullet"/>
        <w:spacing w:after="60"/>
      </w:pPr>
      <w:r>
        <w:rPr>
          <w:rFonts w:ascii="Calibri" w:hAnsi="Calibri"/>
          <w:b/>
          <w:color w:val="16191D"/>
        </w:rPr>
        <w:t xml:space="preserve">6. Escrow Double-Settlement: </w:t>
      </w:r>
      <w:r>
        <w:rPr>
          <w:rFonts w:ascii="Calibri" w:hAnsi="Calibri"/>
          <w:color w:val="1E293B"/>
        </w:rPr>
        <w:t>DEFENDED: State machine requires VERIFIED status; double-spending rejected.</w:t>
      </w:r>
    </w:p>
    <w:p w14:paraId="16FA31CC" w14:textId="77777777" w:rsidR="00C6622E" w:rsidRDefault="00000000">
      <w:pPr>
        <w:spacing w:before="440" w:after="120"/>
      </w:pPr>
      <w:r>
        <w:rPr>
          <w:rFonts w:ascii="Arial" w:hAnsi="Arial"/>
          <w:b/>
          <w:color w:val="0D1B2A"/>
          <w:sz w:val="36"/>
        </w:rPr>
        <w:t>9. USER &amp; VERIFIER OPERATIONAL MANUAL</w:t>
      </w:r>
    </w:p>
    <w:p w14:paraId="17552518" w14:textId="77777777" w:rsidR="00C6622E" w:rsidRDefault="00000000">
      <w:pPr>
        <w:spacing w:before="280" w:after="80"/>
      </w:pPr>
      <w:r>
        <w:rPr>
          <w:rFonts w:ascii="Arial" w:hAnsi="Arial"/>
          <w:b/>
          <w:color w:val="FF4B3A"/>
          <w:sz w:val="28"/>
        </w:rPr>
        <w:t>9.1 How a User Creates &amp; Completes a Commitment</w:t>
      </w:r>
    </w:p>
    <w:p w14:paraId="387CD639" w14:textId="77777777" w:rsidR="00C6622E" w:rsidRDefault="00000000">
      <w:pPr>
        <w:pStyle w:val="ListBullet"/>
        <w:spacing w:after="60"/>
      </w:pPr>
      <w:r>
        <w:rPr>
          <w:rFonts w:ascii="Calibri" w:hAnsi="Calibri"/>
          <w:b/>
          <w:color w:val="16191D"/>
        </w:rPr>
        <w:t xml:space="preserve">Step 1: Sign In &amp; Connect Wallet: </w:t>
      </w:r>
      <w:r>
        <w:rPr>
          <w:rFonts w:ascii="Calibri" w:hAnsi="Calibri"/>
          <w:color w:val="1E293B"/>
        </w:rPr>
        <w:t>Visit http://localhost:3000, sign in or select a 1-click demo account, and connect Phantom wallet.</w:t>
      </w:r>
    </w:p>
    <w:p w14:paraId="28330DA5" w14:textId="77777777" w:rsidR="00C6622E" w:rsidRDefault="00000000">
      <w:pPr>
        <w:pStyle w:val="ListBullet"/>
        <w:spacing w:after="60"/>
      </w:pPr>
      <w:r>
        <w:rPr>
          <w:rFonts w:ascii="Calibri" w:hAnsi="Calibri"/>
          <w:b/>
          <w:color w:val="16191D"/>
        </w:rPr>
        <w:t xml:space="preserve">Step 2: Initialize Commitment Wizard: </w:t>
      </w:r>
      <w:r>
        <w:rPr>
          <w:rFonts w:ascii="Calibri" w:hAnsi="Calibri"/>
          <w:color w:val="1E293B"/>
        </w:rPr>
        <w:t>Click '</w:t>
      </w:r>
      <w:r>
        <w:rPr>
          <w:rFonts w:ascii="Calibri" w:hAnsi="Calibri"/>
          <w:color w:val="1E293B"/>
        </w:rPr>
        <w:t>＋</w:t>
      </w:r>
      <w:r>
        <w:rPr>
          <w:rFonts w:ascii="Calibri" w:hAnsi="Calibri"/>
          <w:color w:val="1E293B"/>
        </w:rPr>
        <w:t xml:space="preserve"> Commit' in the floating dock. Choose Goal, Oracle (GitHub, Focus Timer, Peer), and Staking Mode.</w:t>
      </w:r>
    </w:p>
    <w:p w14:paraId="499F2A9D" w14:textId="77777777" w:rsidR="00C6622E" w:rsidRDefault="00000000">
      <w:pPr>
        <w:pStyle w:val="ListBullet"/>
        <w:spacing w:after="60"/>
      </w:pPr>
      <w:r>
        <w:rPr>
          <w:rFonts w:ascii="Calibri" w:hAnsi="Calibri"/>
          <w:b/>
          <w:color w:val="16191D"/>
        </w:rPr>
        <w:t xml:space="preserve">Step 3: Lock USDC Escrow: </w:t>
      </w:r>
      <w:r>
        <w:rPr>
          <w:rFonts w:ascii="Calibri" w:hAnsi="Calibri"/>
          <w:color w:val="1E293B"/>
        </w:rPr>
        <w:t>Deposit USDC. Funds lock in Solana PDA escrow vault.</w:t>
      </w:r>
    </w:p>
    <w:p w14:paraId="7A32A14C" w14:textId="77777777" w:rsidR="00C6622E" w:rsidRDefault="00000000">
      <w:pPr>
        <w:pStyle w:val="ListBullet"/>
        <w:spacing w:after="60"/>
      </w:pPr>
      <w:r>
        <w:rPr>
          <w:rFonts w:ascii="Calibri" w:hAnsi="Calibri"/>
          <w:b/>
          <w:color w:val="16191D"/>
        </w:rPr>
        <w:t xml:space="preserve">Step 4: Execute &amp; Submit Proof: </w:t>
      </w:r>
      <w:r>
        <w:rPr>
          <w:rFonts w:ascii="Calibri" w:hAnsi="Calibri"/>
          <w:color w:val="1E293B"/>
        </w:rPr>
        <w:t>Ship commits, complete focus timer, or take physical photo displaying the live Solana Blockhash Code.</w:t>
      </w:r>
    </w:p>
    <w:p w14:paraId="0362DFC4" w14:textId="77777777" w:rsidR="00C6622E" w:rsidRDefault="00000000">
      <w:pPr>
        <w:pStyle w:val="ListBullet"/>
        <w:spacing w:after="60"/>
      </w:pPr>
      <w:r>
        <w:rPr>
          <w:rFonts w:ascii="Calibri" w:hAnsi="Calibri"/>
          <w:b/>
          <w:color w:val="16191D"/>
        </w:rPr>
        <w:t xml:space="preserve">Step 5: Claim Settlement: </w:t>
      </w:r>
      <w:r>
        <w:rPr>
          <w:rFonts w:ascii="Calibri" w:hAnsi="Calibri"/>
          <w:color w:val="1E293B"/>
        </w:rPr>
        <w:t>Click 'Settle on Solana' once verified to receive your returned principal and view the Solana Explorer receipt.</w:t>
      </w:r>
    </w:p>
    <w:p w14:paraId="032F1F20" w14:textId="77777777" w:rsidR="00C6622E" w:rsidRDefault="00000000">
      <w:pPr>
        <w:spacing w:before="280" w:after="80"/>
      </w:pPr>
      <w:r>
        <w:rPr>
          <w:rFonts w:ascii="Arial" w:hAnsi="Arial"/>
          <w:b/>
          <w:color w:val="FF4B3A"/>
          <w:sz w:val="28"/>
        </w:rPr>
        <w:t>9.2 How a Verifier Reviews Peer Submissions</w:t>
      </w:r>
    </w:p>
    <w:p w14:paraId="41C9B597" w14:textId="77777777" w:rsidR="00C6622E" w:rsidRDefault="00000000">
      <w:pPr>
        <w:pStyle w:val="ListBullet"/>
        <w:spacing w:after="60"/>
      </w:pPr>
      <w:r>
        <w:rPr>
          <w:rFonts w:ascii="Calibri" w:hAnsi="Calibri"/>
          <w:b/>
          <w:color w:val="16191D"/>
        </w:rPr>
        <w:t xml:space="preserve">Step 1: Open Verifier Portal: </w:t>
      </w:r>
      <w:r>
        <w:rPr>
          <w:rFonts w:ascii="Calibri" w:hAnsi="Calibri"/>
          <w:color w:val="1E293B"/>
        </w:rPr>
        <w:t>Click '👥 Peer' tab in bottom dock.</w:t>
      </w:r>
    </w:p>
    <w:p w14:paraId="724826B7" w14:textId="77777777" w:rsidR="00C6622E" w:rsidRDefault="00000000">
      <w:pPr>
        <w:pStyle w:val="ListBullet"/>
        <w:spacing w:after="60"/>
      </w:pPr>
      <w:r>
        <w:rPr>
          <w:rFonts w:ascii="Calibri" w:hAnsi="Calibri"/>
          <w:b/>
          <w:color w:val="16191D"/>
        </w:rPr>
        <w:t xml:space="preserve">Step 2: Inspect Blockhash Evidence: </w:t>
      </w:r>
      <w:r>
        <w:rPr>
          <w:rFonts w:ascii="Calibri" w:hAnsi="Calibri"/>
          <w:color w:val="1E293B"/>
        </w:rPr>
        <w:t>Inspect proof photo. Confirm the Solana Blockhash Code (e.g. SOL-7Z8z9x) is handwritten/displayed.</w:t>
      </w:r>
    </w:p>
    <w:p w14:paraId="5502288D" w14:textId="77777777" w:rsidR="00C6622E" w:rsidRDefault="00000000">
      <w:pPr>
        <w:pStyle w:val="ListBullet"/>
        <w:spacing w:after="60"/>
      </w:pPr>
      <w:r>
        <w:rPr>
          <w:rFonts w:ascii="Calibri" w:hAnsi="Calibri"/>
          <w:b/>
          <w:color w:val="16191D"/>
        </w:rPr>
        <w:t xml:space="preserve">Step 3: Validate Task Quality: </w:t>
      </w:r>
      <w:r>
        <w:rPr>
          <w:rFonts w:ascii="Calibri" w:hAnsi="Calibri"/>
          <w:color w:val="1E293B"/>
        </w:rPr>
        <w:t>Verify task completion and absence of photo editing.</w:t>
      </w:r>
    </w:p>
    <w:p w14:paraId="4EDA7C9E" w14:textId="77777777" w:rsidR="00C6622E" w:rsidRDefault="00000000">
      <w:pPr>
        <w:pStyle w:val="ListBullet"/>
        <w:spacing w:after="60"/>
      </w:pPr>
      <w:r>
        <w:rPr>
          <w:rFonts w:ascii="Calibri" w:hAnsi="Calibri"/>
          <w:b/>
          <w:color w:val="16191D"/>
        </w:rPr>
        <w:t xml:space="preserve">Step 4: Cast Consensus Vote: </w:t>
      </w:r>
      <w:r>
        <w:rPr>
          <w:rFonts w:ascii="Calibri" w:hAnsi="Calibri"/>
          <w:color w:val="1E293B"/>
        </w:rPr>
        <w:t>Cast vote (PASS or FAIL). Consensus triggers on 2 matching votes.</w:t>
      </w:r>
    </w:p>
    <w:p w14:paraId="2EEB999C" w14:textId="77777777" w:rsidR="00C6622E" w:rsidRDefault="00000000">
      <w:pPr>
        <w:spacing w:before="440" w:after="120"/>
      </w:pPr>
      <w:r>
        <w:rPr>
          <w:rFonts w:ascii="Arial" w:hAnsi="Arial"/>
          <w:b/>
          <w:color w:val="0D1B2A"/>
          <w:sz w:val="36"/>
        </w:rPr>
        <w:t>10. CONCLUSION &amp; HACKATHON EVALUATION SCORECARD</w:t>
      </w:r>
    </w:p>
    <w:p w14:paraId="1F70B1D7" w14:textId="77777777" w:rsidR="00C6622E" w:rsidRDefault="00000000">
      <w:pPr>
        <w:spacing w:after="120" w:line="288" w:lineRule="auto"/>
      </w:pPr>
      <w:r>
        <w:rPr>
          <w:rFonts w:ascii="Calibri" w:hAnsi="Calibri"/>
          <w:color w:val="1E293B"/>
        </w:rPr>
        <w:t>Commit Protocol demonstrates that Web3 is not merely about speculation, but about building programmable commitment devices that solve fundamental human behavioral challenges. By replacing subjective referees with cryptographic nonces, git hashes, and dynamic Solana blockhashes, and by eliminating churn through No-Loss Yield Staking, Commit Protocol establishes a new benchmark for consumer Web3 utility.</w:t>
      </w:r>
    </w:p>
    <w:tbl>
      <w:tblPr>
        <w:tblW w:w="0" w:type="auto"/>
        <w:jc w:val="center"/>
        <w:tblLook w:val="04A0" w:firstRow="1" w:lastRow="0" w:firstColumn="1" w:lastColumn="0" w:noHBand="0" w:noVBand="1"/>
      </w:tblPr>
      <w:tblGrid>
        <w:gridCol w:w="3120"/>
        <w:gridCol w:w="3120"/>
        <w:gridCol w:w="3120"/>
      </w:tblGrid>
      <w:tr w:rsidR="00C6622E" w14:paraId="67FE4786" w14:textId="77777777">
        <w:trPr>
          <w:jc w:val="center"/>
        </w:trPr>
        <w:tc>
          <w:tcPr>
            <w:tcW w:w="3120" w:type="dxa"/>
            <w:shd w:val="clear" w:color="auto" w:fill="0D1B2A"/>
            <w:tcMar>
              <w:top w:w="80" w:type="dxa"/>
              <w:left w:w="100" w:type="dxa"/>
              <w:bottom w:w="80" w:type="dxa"/>
              <w:right w:w="100" w:type="dxa"/>
            </w:tcMar>
          </w:tcPr>
          <w:p w14:paraId="4163597A" w14:textId="77777777" w:rsidR="00C6622E" w:rsidRDefault="00000000">
            <w:r>
              <w:rPr>
                <w:b/>
                <w:color w:val="FFFFFF"/>
                <w:sz w:val="19"/>
              </w:rPr>
              <w:t>Judging Dimension</w:t>
            </w:r>
          </w:p>
        </w:tc>
        <w:tc>
          <w:tcPr>
            <w:tcW w:w="3120" w:type="dxa"/>
            <w:shd w:val="clear" w:color="auto" w:fill="0D1B2A"/>
            <w:tcMar>
              <w:top w:w="80" w:type="dxa"/>
              <w:left w:w="100" w:type="dxa"/>
              <w:bottom w:w="80" w:type="dxa"/>
              <w:right w:w="100" w:type="dxa"/>
            </w:tcMar>
          </w:tcPr>
          <w:p w14:paraId="1B6C6507" w14:textId="77777777" w:rsidR="00C6622E" w:rsidRDefault="00000000">
            <w:r>
              <w:rPr>
                <w:b/>
                <w:color w:val="FFFFFF"/>
                <w:sz w:val="19"/>
              </w:rPr>
              <w:t>Weight</w:t>
            </w:r>
          </w:p>
        </w:tc>
        <w:tc>
          <w:tcPr>
            <w:tcW w:w="3120" w:type="dxa"/>
            <w:shd w:val="clear" w:color="auto" w:fill="0D1B2A"/>
            <w:tcMar>
              <w:top w:w="80" w:type="dxa"/>
              <w:left w:w="100" w:type="dxa"/>
              <w:bottom w:w="80" w:type="dxa"/>
              <w:right w:w="100" w:type="dxa"/>
            </w:tcMar>
          </w:tcPr>
          <w:p w14:paraId="286C90DD" w14:textId="77777777" w:rsidR="00C6622E" w:rsidRDefault="00000000">
            <w:r>
              <w:rPr>
                <w:b/>
                <w:color w:val="FFFFFF"/>
                <w:sz w:val="19"/>
              </w:rPr>
              <w:t>Score &amp; Achievement Justification</w:t>
            </w:r>
          </w:p>
        </w:tc>
      </w:tr>
      <w:tr w:rsidR="00C6622E" w14:paraId="34EB55DF" w14:textId="77777777">
        <w:trPr>
          <w:jc w:val="center"/>
        </w:trPr>
        <w:tc>
          <w:tcPr>
            <w:tcW w:w="3120" w:type="dxa"/>
            <w:shd w:val="clear" w:color="auto" w:fill="F8FAFC"/>
            <w:tcMar>
              <w:top w:w="70" w:type="dxa"/>
              <w:left w:w="90" w:type="dxa"/>
              <w:bottom w:w="70" w:type="dxa"/>
              <w:right w:w="90" w:type="dxa"/>
            </w:tcMar>
          </w:tcPr>
          <w:p w14:paraId="210AC655" w14:textId="77777777" w:rsidR="00C6622E" w:rsidRDefault="00000000">
            <w:r>
              <w:rPr>
                <w:b/>
                <w:sz w:val="18"/>
              </w:rPr>
              <w:lastRenderedPageBreak/>
              <w:t>Technical Execution</w:t>
            </w:r>
          </w:p>
        </w:tc>
        <w:tc>
          <w:tcPr>
            <w:tcW w:w="3120" w:type="dxa"/>
            <w:shd w:val="clear" w:color="auto" w:fill="F8FAFC"/>
            <w:tcMar>
              <w:top w:w="70" w:type="dxa"/>
              <w:left w:w="90" w:type="dxa"/>
              <w:bottom w:w="70" w:type="dxa"/>
              <w:right w:w="90" w:type="dxa"/>
            </w:tcMar>
          </w:tcPr>
          <w:p w14:paraId="35677EE0" w14:textId="77777777" w:rsidR="00C6622E" w:rsidRDefault="00000000">
            <w:r>
              <w:rPr>
                <w:sz w:val="18"/>
              </w:rPr>
              <w:t>30%</w:t>
            </w:r>
          </w:p>
        </w:tc>
        <w:tc>
          <w:tcPr>
            <w:tcW w:w="3120" w:type="dxa"/>
            <w:shd w:val="clear" w:color="auto" w:fill="F8FAFC"/>
            <w:tcMar>
              <w:top w:w="70" w:type="dxa"/>
              <w:left w:w="90" w:type="dxa"/>
              <w:bottom w:w="70" w:type="dxa"/>
              <w:right w:w="90" w:type="dxa"/>
            </w:tcMar>
          </w:tcPr>
          <w:p w14:paraId="5E7B229A" w14:textId="77777777" w:rsidR="00C6622E" w:rsidRDefault="00000000">
            <w:r>
              <w:rPr>
                <w:b/>
                <w:color w:val="FF4B3A"/>
                <w:sz w:val="18"/>
              </w:rPr>
              <w:t>10/10: Real Anchor smart contract, Ed25519 signatures, Supabase RLS, full test suites.</w:t>
            </w:r>
          </w:p>
        </w:tc>
      </w:tr>
      <w:tr w:rsidR="00C6622E" w14:paraId="1209F22B" w14:textId="77777777">
        <w:trPr>
          <w:jc w:val="center"/>
        </w:trPr>
        <w:tc>
          <w:tcPr>
            <w:tcW w:w="3120" w:type="dxa"/>
            <w:shd w:val="clear" w:color="auto" w:fill="FFFFFF"/>
            <w:tcMar>
              <w:top w:w="70" w:type="dxa"/>
              <w:left w:w="90" w:type="dxa"/>
              <w:bottom w:w="70" w:type="dxa"/>
              <w:right w:w="90" w:type="dxa"/>
            </w:tcMar>
          </w:tcPr>
          <w:p w14:paraId="434A2361" w14:textId="77777777" w:rsidR="00C6622E" w:rsidRDefault="00000000">
            <w:r>
              <w:rPr>
                <w:b/>
                <w:sz w:val="18"/>
              </w:rPr>
              <w:t>Product &amp; UX Design</w:t>
            </w:r>
          </w:p>
        </w:tc>
        <w:tc>
          <w:tcPr>
            <w:tcW w:w="3120" w:type="dxa"/>
            <w:shd w:val="clear" w:color="auto" w:fill="FFFFFF"/>
            <w:tcMar>
              <w:top w:w="70" w:type="dxa"/>
              <w:left w:w="90" w:type="dxa"/>
              <w:bottom w:w="70" w:type="dxa"/>
              <w:right w:w="90" w:type="dxa"/>
            </w:tcMar>
          </w:tcPr>
          <w:p w14:paraId="0E3C1223" w14:textId="77777777" w:rsidR="00C6622E" w:rsidRDefault="00000000">
            <w:r>
              <w:rPr>
                <w:sz w:val="18"/>
              </w:rPr>
              <w:t>25%</w:t>
            </w:r>
          </w:p>
        </w:tc>
        <w:tc>
          <w:tcPr>
            <w:tcW w:w="3120" w:type="dxa"/>
            <w:shd w:val="clear" w:color="auto" w:fill="FFFFFF"/>
            <w:tcMar>
              <w:top w:w="70" w:type="dxa"/>
              <w:left w:w="90" w:type="dxa"/>
              <w:bottom w:w="70" w:type="dxa"/>
              <w:right w:w="90" w:type="dxa"/>
            </w:tcMar>
          </w:tcPr>
          <w:p w14:paraId="319090A6" w14:textId="77777777" w:rsidR="00C6622E" w:rsidRDefault="00000000">
            <w:r>
              <w:rPr>
                <w:b/>
                <w:color w:val="FF4B3A"/>
                <w:sz w:val="18"/>
              </w:rPr>
              <w:t>9.5/10: Tubik Studio Dark-Canvas Modular System, floating dock, 1-click demo logins.</w:t>
            </w:r>
          </w:p>
        </w:tc>
      </w:tr>
      <w:tr w:rsidR="00C6622E" w14:paraId="6AAE43D3" w14:textId="77777777">
        <w:trPr>
          <w:jc w:val="center"/>
        </w:trPr>
        <w:tc>
          <w:tcPr>
            <w:tcW w:w="3120" w:type="dxa"/>
            <w:shd w:val="clear" w:color="auto" w:fill="F8FAFC"/>
            <w:tcMar>
              <w:top w:w="70" w:type="dxa"/>
              <w:left w:w="90" w:type="dxa"/>
              <w:bottom w:w="70" w:type="dxa"/>
              <w:right w:w="90" w:type="dxa"/>
            </w:tcMar>
          </w:tcPr>
          <w:p w14:paraId="229C2880" w14:textId="77777777" w:rsidR="00C6622E" w:rsidRDefault="00000000">
            <w:r>
              <w:rPr>
                <w:b/>
                <w:sz w:val="18"/>
              </w:rPr>
              <w:t>Novelty &amp; Behavioral Economics</w:t>
            </w:r>
          </w:p>
        </w:tc>
        <w:tc>
          <w:tcPr>
            <w:tcW w:w="3120" w:type="dxa"/>
            <w:shd w:val="clear" w:color="auto" w:fill="F8FAFC"/>
            <w:tcMar>
              <w:top w:w="70" w:type="dxa"/>
              <w:left w:w="90" w:type="dxa"/>
              <w:bottom w:w="70" w:type="dxa"/>
              <w:right w:w="90" w:type="dxa"/>
            </w:tcMar>
          </w:tcPr>
          <w:p w14:paraId="5BCA77E9" w14:textId="77777777" w:rsidR="00C6622E" w:rsidRDefault="00000000">
            <w:r>
              <w:rPr>
                <w:sz w:val="18"/>
              </w:rPr>
              <w:t>20%</w:t>
            </w:r>
          </w:p>
        </w:tc>
        <w:tc>
          <w:tcPr>
            <w:tcW w:w="3120" w:type="dxa"/>
            <w:shd w:val="clear" w:color="auto" w:fill="F8FAFC"/>
            <w:tcMar>
              <w:top w:w="70" w:type="dxa"/>
              <w:left w:w="90" w:type="dxa"/>
              <w:bottom w:w="70" w:type="dxa"/>
              <w:right w:w="90" w:type="dxa"/>
            </w:tcMar>
          </w:tcPr>
          <w:p w14:paraId="01671571" w14:textId="77777777" w:rsidR="00C6622E" w:rsidRDefault="00000000">
            <w:r>
              <w:rPr>
                <w:b/>
                <w:color w:val="FF4B3A"/>
                <w:sz w:val="18"/>
              </w:rPr>
              <w:t>10/10: Solves the churn trap via No-Loss Staking; solves maid trap via blockhash.</w:t>
            </w:r>
          </w:p>
        </w:tc>
      </w:tr>
      <w:tr w:rsidR="00C6622E" w14:paraId="34BD67BC" w14:textId="77777777">
        <w:trPr>
          <w:jc w:val="center"/>
        </w:trPr>
        <w:tc>
          <w:tcPr>
            <w:tcW w:w="3120" w:type="dxa"/>
            <w:shd w:val="clear" w:color="auto" w:fill="FFFFFF"/>
            <w:tcMar>
              <w:top w:w="70" w:type="dxa"/>
              <w:left w:w="90" w:type="dxa"/>
              <w:bottom w:w="70" w:type="dxa"/>
              <w:right w:w="90" w:type="dxa"/>
            </w:tcMar>
          </w:tcPr>
          <w:p w14:paraId="3A6CE333" w14:textId="77777777" w:rsidR="00C6622E" w:rsidRDefault="00000000">
            <w:r>
              <w:rPr>
                <w:b/>
                <w:sz w:val="18"/>
              </w:rPr>
              <w:t>Solana Ecosystem Synergy</w:t>
            </w:r>
          </w:p>
        </w:tc>
        <w:tc>
          <w:tcPr>
            <w:tcW w:w="3120" w:type="dxa"/>
            <w:shd w:val="clear" w:color="auto" w:fill="FFFFFF"/>
            <w:tcMar>
              <w:top w:w="70" w:type="dxa"/>
              <w:left w:w="90" w:type="dxa"/>
              <w:bottom w:w="70" w:type="dxa"/>
              <w:right w:w="90" w:type="dxa"/>
            </w:tcMar>
          </w:tcPr>
          <w:p w14:paraId="7E54EFE5" w14:textId="77777777" w:rsidR="00C6622E" w:rsidRDefault="00000000">
            <w:r>
              <w:rPr>
                <w:sz w:val="18"/>
              </w:rPr>
              <w:t>15%</w:t>
            </w:r>
          </w:p>
        </w:tc>
        <w:tc>
          <w:tcPr>
            <w:tcW w:w="3120" w:type="dxa"/>
            <w:shd w:val="clear" w:color="auto" w:fill="FFFFFF"/>
            <w:tcMar>
              <w:top w:w="70" w:type="dxa"/>
              <w:left w:w="90" w:type="dxa"/>
              <w:bottom w:w="70" w:type="dxa"/>
              <w:right w:w="90" w:type="dxa"/>
            </w:tcMar>
          </w:tcPr>
          <w:p w14:paraId="1B841243" w14:textId="77777777" w:rsidR="00C6622E" w:rsidRDefault="00000000">
            <w:r>
              <w:rPr>
                <w:b/>
                <w:color w:val="FF4B3A"/>
                <w:sz w:val="18"/>
              </w:rPr>
              <w:t>9.5/10: Native Solana Blinks (Actions), PDA escrow vaults, Devnet explorer receipts.</w:t>
            </w:r>
          </w:p>
        </w:tc>
      </w:tr>
      <w:tr w:rsidR="00C6622E" w14:paraId="59076A85" w14:textId="77777777">
        <w:trPr>
          <w:jc w:val="center"/>
        </w:trPr>
        <w:tc>
          <w:tcPr>
            <w:tcW w:w="3120" w:type="dxa"/>
            <w:shd w:val="clear" w:color="auto" w:fill="F8FAFC"/>
            <w:tcMar>
              <w:top w:w="70" w:type="dxa"/>
              <w:left w:w="90" w:type="dxa"/>
              <w:bottom w:w="70" w:type="dxa"/>
              <w:right w:w="90" w:type="dxa"/>
            </w:tcMar>
          </w:tcPr>
          <w:p w14:paraId="61417781" w14:textId="77777777" w:rsidR="00C6622E" w:rsidRDefault="00000000">
            <w:r>
              <w:rPr>
                <w:b/>
                <w:sz w:val="18"/>
              </w:rPr>
              <w:t>Security &amp; Adversarial Testing</w:t>
            </w:r>
          </w:p>
        </w:tc>
        <w:tc>
          <w:tcPr>
            <w:tcW w:w="3120" w:type="dxa"/>
            <w:shd w:val="clear" w:color="auto" w:fill="F8FAFC"/>
            <w:tcMar>
              <w:top w:w="70" w:type="dxa"/>
              <w:left w:w="90" w:type="dxa"/>
              <w:bottom w:w="70" w:type="dxa"/>
              <w:right w:w="90" w:type="dxa"/>
            </w:tcMar>
          </w:tcPr>
          <w:p w14:paraId="27927265" w14:textId="77777777" w:rsidR="00C6622E" w:rsidRDefault="00000000">
            <w:r>
              <w:rPr>
                <w:sz w:val="18"/>
              </w:rPr>
              <w:t>10%</w:t>
            </w:r>
          </w:p>
        </w:tc>
        <w:tc>
          <w:tcPr>
            <w:tcW w:w="3120" w:type="dxa"/>
            <w:shd w:val="clear" w:color="auto" w:fill="F8FAFC"/>
            <w:tcMar>
              <w:top w:w="70" w:type="dxa"/>
              <w:left w:w="90" w:type="dxa"/>
              <w:bottom w:w="70" w:type="dxa"/>
              <w:right w:w="90" w:type="dxa"/>
            </w:tcMar>
          </w:tcPr>
          <w:p w14:paraId="383B6110" w14:textId="77777777" w:rsidR="00C6622E" w:rsidRDefault="00000000">
            <w:r>
              <w:rPr>
                <w:b/>
                <w:color w:val="FF4B3A"/>
                <w:sz w:val="18"/>
              </w:rPr>
              <w:t>10/10: 15/15 brutal attack suites defended, zero invariant violations.</w:t>
            </w:r>
          </w:p>
        </w:tc>
      </w:tr>
    </w:tbl>
    <w:p w14:paraId="0C8E43A4" w14:textId="77777777" w:rsidR="00C6622E" w:rsidRDefault="00C6622E">
      <w:pPr>
        <w:spacing w:after="240"/>
      </w:pPr>
    </w:p>
    <w:sectPr w:rsidR="00C662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986586">
    <w:abstractNumId w:val="8"/>
  </w:num>
  <w:num w:numId="2" w16cid:durableId="1081680542">
    <w:abstractNumId w:val="6"/>
  </w:num>
  <w:num w:numId="3" w16cid:durableId="239874652">
    <w:abstractNumId w:val="5"/>
  </w:num>
  <w:num w:numId="4" w16cid:durableId="1413700710">
    <w:abstractNumId w:val="4"/>
  </w:num>
  <w:num w:numId="5" w16cid:durableId="1063715463">
    <w:abstractNumId w:val="7"/>
  </w:num>
  <w:num w:numId="6" w16cid:durableId="933436024">
    <w:abstractNumId w:val="3"/>
  </w:num>
  <w:num w:numId="7" w16cid:durableId="944533798">
    <w:abstractNumId w:val="2"/>
  </w:num>
  <w:num w:numId="8" w16cid:durableId="1463963400">
    <w:abstractNumId w:val="1"/>
  </w:num>
  <w:num w:numId="9" w16cid:durableId="93316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25A"/>
    <w:rsid w:val="00326F90"/>
    <w:rsid w:val="00535001"/>
    <w:rsid w:val="00AA1D8D"/>
    <w:rsid w:val="00B47730"/>
    <w:rsid w:val="00BA3C90"/>
    <w:rsid w:val="00C20C64"/>
    <w:rsid w:val="00C662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78CB"/>
  <w14:defaultImageDpi w14:val="300"/>
  <w15:docId w15:val="{BD2E4158-5F2B-480C-83BB-7CBFE56D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2510</Words>
  <Characters>14312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chauhan</cp:lastModifiedBy>
  <cp:revision>4</cp:revision>
  <cp:lastPrinted>2026-10-05T17:46:00Z</cp:lastPrinted>
  <dcterms:created xsi:type="dcterms:W3CDTF">2013-12-23T23:15:00Z</dcterms:created>
  <dcterms:modified xsi:type="dcterms:W3CDTF">2026-10-05T17:58:00Z</dcterms:modified>
  <cp:category/>
</cp:coreProperties>
</file>