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AD" w:rsidRPr="002B55E0" w:rsidRDefault="00AD60AD">
      <w:pPr>
        <w:rPr>
          <w:color w:val="A6A6A6" w:themeColor="background1" w:themeShade="A6"/>
        </w:rPr>
      </w:pPr>
      <w:r w:rsidRPr="002B55E0">
        <w:rPr>
          <w:color w:val="A6A6A6" w:themeColor="background1" w:themeShade="A6"/>
        </w:rPr>
        <w:t>[</w:t>
      </w:r>
      <w:proofErr w:type="spellStart"/>
      <w:r w:rsidRPr="002B55E0">
        <w:rPr>
          <w:color w:val="A6A6A6" w:themeColor="background1" w:themeShade="A6"/>
        </w:rPr>
        <w:t>Brexit</w:t>
      </w:r>
      <w:proofErr w:type="spellEnd"/>
      <w:r w:rsidR="00057E50" w:rsidRPr="002B55E0">
        <w:rPr>
          <w:color w:val="A6A6A6" w:themeColor="background1" w:themeShade="A6"/>
        </w:rPr>
        <w:t>: def_class222, def_class222b</w:t>
      </w:r>
      <w:r w:rsidRPr="002B55E0">
        <w:rPr>
          <w:color w:val="A6A6A6" w:themeColor="background1" w:themeShade="A6"/>
        </w:rPr>
        <w:t>]</w:t>
      </w:r>
    </w:p>
    <w:p w:rsidR="00F736C9" w:rsidRDefault="00135052">
      <w:r>
        <w:t>A supply chain consists of two manufacturers M1 and M2, two</w:t>
      </w:r>
      <w:r w:rsidR="00400A9A">
        <w:t xml:space="preserve"> retai</w:t>
      </w:r>
      <w:r w:rsidR="00FD7D72">
        <w:t>lers R1 and R2 and two markets B1 and B2. M1, R1 and B1</w:t>
      </w:r>
      <w:r w:rsidR="00400A9A">
        <w:t xml:space="preserve"> are located in</w:t>
      </w:r>
      <w:r w:rsidR="00FD7D72">
        <w:t xml:space="preserve"> Country 1, whereas M2, R2 and B</w:t>
      </w:r>
      <w:r w:rsidR="00400A9A">
        <w:t xml:space="preserve">2 are located in Country 2. </w:t>
      </w:r>
    </w:p>
    <w:p w:rsidR="006A5099" w:rsidRDefault="0036365B" w:rsidP="006A5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</w:t>
      </w:r>
      <w:r w:rsidR="006A5099">
        <w:rPr>
          <w:lang w:val="en-US"/>
        </w:rPr>
        <w:t>anufacturer</w:t>
      </w:r>
      <w:r>
        <w:rPr>
          <w:lang w:val="en-US"/>
        </w:rPr>
        <w:t>s</w:t>
      </w:r>
      <w:r w:rsidR="006A5099">
        <w:rPr>
          <w:lang w:val="en-US"/>
        </w:rPr>
        <w:t xml:space="preserve"> face production costs:</w:t>
      </w:r>
    </w:p>
    <w:p w:rsidR="006A5099" w:rsidRPr="0036365B" w:rsidRDefault="002B55E0" w:rsidP="006A5099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M1</m:t>
              </m:r>
            </m:sub>
          </m:sSub>
          <m:r>
            <w:rPr>
              <w:rFonts w:ascii="Cambria Math" w:hAnsi="Cambria Math"/>
              <w:lang w:val="en-US"/>
            </w:rPr>
            <m:t>=2+2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:rsidR="0036365B" w:rsidRPr="009A74CC" w:rsidRDefault="002B55E0" w:rsidP="006A5099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r>
            <w:rPr>
              <w:rFonts w:ascii="Cambria Math" w:hAnsi="Cambria Math"/>
              <w:lang w:val="en-US"/>
            </w:rPr>
            <m:t>=3+3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:rsidR="009A74CC" w:rsidRDefault="002B55E0" w:rsidP="009A74CC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  <w:r w:rsidR="009A74CC">
        <w:rPr>
          <w:rFonts w:eastAsiaTheme="minorEastAsia"/>
          <w:lang w:val="en-US"/>
        </w:rPr>
        <w:t xml:space="preserve"> the (per-unit) transaction costs:</w:t>
      </w:r>
    </w:p>
    <w:p w:rsidR="009A74CC" w:rsidRPr="009A74CC" w:rsidRDefault="002B55E0" w:rsidP="009A7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M1R1</m:t>
              </m:r>
            </m:sub>
          </m:sSub>
          <m:r>
            <w:rPr>
              <w:rFonts w:ascii="Cambria Math" w:hAnsi="Cambria Math"/>
            </w:rPr>
            <m:t>=2+2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M1R1</m:t>
              </m:r>
            </m:sub>
          </m:sSub>
        </m:oMath>
      </m:oMathPara>
    </w:p>
    <w:p w:rsidR="009A74CC" w:rsidRPr="009A74CC" w:rsidRDefault="002B55E0" w:rsidP="009A7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M1R2</m:t>
              </m:r>
            </m:sub>
          </m:sSub>
          <m:r>
            <w:rPr>
              <w:rFonts w:ascii="Cambria Math" w:hAnsi="Cambria Math"/>
            </w:rPr>
            <m:t>=2+2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M1R2</m:t>
              </m:r>
            </m:sub>
          </m:sSub>
        </m:oMath>
      </m:oMathPara>
    </w:p>
    <w:p w:rsidR="009A74CC" w:rsidRPr="009A74CC" w:rsidRDefault="002B55E0" w:rsidP="009A7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M2R1</m:t>
              </m:r>
            </m:sub>
          </m:sSub>
          <m:r>
            <w:rPr>
              <w:rFonts w:ascii="Cambria Math" w:hAnsi="Cambria Math"/>
            </w:rPr>
            <m:t>=2+2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M2R1</m:t>
              </m:r>
            </m:sub>
          </m:sSub>
        </m:oMath>
      </m:oMathPara>
    </w:p>
    <w:p w:rsidR="009A74CC" w:rsidRPr="009A74CC" w:rsidRDefault="002B55E0" w:rsidP="009A74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M2R2</m:t>
              </m:r>
            </m:sub>
          </m:sSub>
          <m:r>
            <w:rPr>
              <w:rFonts w:ascii="Cambria Math" w:hAnsi="Cambria Math"/>
            </w:rPr>
            <m:t>=2+2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M2R2</m:t>
              </m:r>
            </m:sub>
          </m:sSub>
        </m:oMath>
      </m:oMathPara>
    </w:p>
    <w:p w:rsidR="006A5099" w:rsidRPr="005E2FCD" w:rsidRDefault="00806B7C" w:rsidP="006A5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unit of product purchased from the manufacturers, t</w:t>
      </w:r>
      <w:r w:rsidR="006A5099" w:rsidRPr="005E2FCD">
        <w:rPr>
          <w:lang w:val="en-US"/>
        </w:rPr>
        <w:t xml:space="preserve">he </w:t>
      </w:r>
      <w:r w:rsidR="006A5099">
        <w:rPr>
          <w:lang w:val="en-US"/>
        </w:rPr>
        <w:t xml:space="preserve">retailers </w:t>
      </w:r>
      <w:r>
        <w:rPr>
          <w:lang w:val="en-US"/>
        </w:rPr>
        <w:t>face handling costs of</w:t>
      </w:r>
      <w:r w:rsidR="006A5099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R1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(q</m:t>
              </m:r>
            </m:e>
            <m:sub>
              <m:r>
                <w:rPr>
                  <w:rFonts w:ascii="Cambria Math" w:hAnsi="Cambria Math"/>
                  <w:lang w:val="en-US"/>
                </w:rPr>
                <m:t>M1R1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M2R1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4E2487" w:rsidRPr="004E2487" w:rsidRDefault="002B55E0" w:rsidP="000C764D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lang w:val="en-US"/>
            </w:rPr>
            <m:t>=2(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M1R2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M2R2</m:t>
              </m:r>
            </m:sub>
          </m:sSub>
          <m:r>
            <m:rPr>
              <m:sty m:val="p"/>
            </m:rPr>
            <w:rPr>
              <w:rFonts w:ascii="Cambria Math"/>
              <w:lang w:val="en-US"/>
            </w:rPr>
            <m:t>)</m:t>
          </m:r>
        </m:oMath>
      </m:oMathPara>
    </w:p>
    <w:p w:rsidR="006A5099" w:rsidRPr="00426B84" w:rsidRDefault="004E2487" w:rsidP="004E2487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Transaction costs </w:t>
      </w:r>
      <w:r w:rsidR="00426B84">
        <w:rPr>
          <w:lang w:val="en-US"/>
        </w:rPr>
        <w:t xml:space="preserve">(per unit) </w:t>
      </w:r>
      <w:r>
        <w:rPr>
          <w:lang w:val="en-US"/>
        </w:rPr>
        <w:t>are incurred between the retailers and markets:</w:t>
      </w:r>
      <w:r w:rsidR="006A5099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R1B1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R1B1</m:t>
              </m:r>
            </m:sub>
            <m:sup/>
          </m:sSubSup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426B84" w:rsidRPr="00426B84" w:rsidRDefault="002B55E0" w:rsidP="00426B8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R1B2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R1B2</m:t>
              </m:r>
            </m:sub>
            <m:sup/>
          </m:sSubSup>
          <m:r>
            <w:rPr>
              <w:rFonts w:ascii="Cambria Math" w:hAnsi="Cambria Math"/>
            </w:rPr>
            <m:t>+1</m:t>
          </m:r>
        </m:oMath>
      </m:oMathPara>
    </w:p>
    <w:p w:rsidR="00426B84" w:rsidRPr="00426B84" w:rsidRDefault="002B55E0" w:rsidP="00426B8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R2B1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R2B1</m:t>
              </m:r>
            </m:sub>
            <m:sup/>
          </m:sSubSup>
          <m:r>
            <w:rPr>
              <w:rFonts w:ascii="Cambria Math" w:hAnsi="Cambria Math"/>
            </w:rPr>
            <m:t>+1</m:t>
          </m:r>
        </m:oMath>
      </m:oMathPara>
    </w:p>
    <w:p w:rsidR="00426B84" w:rsidRPr="00426B84" w:rsidRDefault="002B55E0" w:rsidP="00426B8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R2B2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R2B2</m:t>
              </m:r>
            </m:sub>
            <m:sup/>
          </m:sSubSup>
          <m:r>
            <w:rPr>
              <w:rFonts w:ascii="Cambria Math" w:hAnsi="Cambria Math"/>
            </w:rPr>
            <m:t>+1</m:t>
          </m:r>
        </m:oMath>
      </m:oMathPara>
    </w:p>
    <w:p w:rsidR="00947D05" w:rsidRPr="00D93450" w:rsidRDefault="006A5099" w:rsidP="00D93450">
      <w:pPr>
        <w:ind w:left="720"/>
        <w:rPr>
          <w:rFonts w:eastAsiaTheme="minorEastAsia"/>
        </w:rPr>
      </w:pPr>
      <w:r w:rsidRPr="00D93450">
        <w:t xml:space="preserve">The total cost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Bij</m:t>
            </m:r>
          </m:sub>
        </m:sSub>
      </m:oMath>
      <w:r w:rsidRPr="00D93450">
        <w:rPr>
          <w:rFonts w:eastAsiaTheme="minorEastAsia"/>
        </w:rPr>
        <w:t xml:space="preserve"> </w:t>
      </w:r>
      <w:r w:rsidRPr="00D93450">
        <w:t xml:space="preserve">perceived by the </w:t>
      </w:r>
      <w:r w:rsidR="00EE66C1">
        <w:t>consu</w:t>
      </w:r>
      <w:r w:rsidRPr="00D93450">
        <w:t xml:space="preserve">mers </w:t>
      </w:r>
      <w:r w:rsidR="00947D05" w:rsidRPr="00D93450">
        <w:t xml:space="preserve">in market </w:t>
      </w:r>
      <m:oMath>
        <m:r>
          <w:rPr>
            <w:rFonts w:ascii="Cambria Math" w:hAnsi="Cambria Math"/>
          </w:rPr>
          <m:t xml:space="preserve">i </m:t>
        </m:r>
      </m:oMath>
      <w:r w:rsidRPr="00D93450">
        <w:t xml:space="preserve">consists of the retail price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</m:oMath>
      <w:r w:rsidR="00D93450" w:rsidRPr="00D93450">
        <w:rPr>
          <w:rFonts w:eastAsiaTheme="minorEastAsia"/>
        </w:rPr>
        <w:t xml:space="preserve"> </w:t>
      </w:r>
      <w:r w:rsidR="002B55E0">
        <w:rPr>
          <w:rFonts w:eastAsiaTheme="minorEastAsia"/>
        </w:rPr>
        <w:t>and</w:t>
      </w:r>
      <w:r w:rsidRPr="00D93450">
        <w:rPr>
          <w:rFonts w:eastAsiaTheme="minorEastAsia"/>
        </w:rPr>
        <w:t xml:space="preserve"> </w:t>
      </w:r>
      <w:r w:rsidR="00D93450" w:rsidRPr="00D93450">
        <w:rPr>
          <w:rFonts w:eastAsiaTheme="minorEastAsia"/>
        </w:rPr>
        <w:t>transaction cost</w:t>
      </w:r>
      <w:r w:rsidRPr="00D93450">
        <w:rPr>
          <w:rFonts w:eastAsiaTheme="minorEastAsia"/>
        </w:rPr>
        <w:t xml:space="preserve"> for going to the retailer </w:t>
      </w:r>
      <m:oMath>
        <m:r>
          <w:rPr>
            <w:rFonts w:ascii="Cambria Math" w:hAnsi="Cambria Math"/>
          </w:rPr>
          <m:t xml:space="preserve">j </m:t>
        </m:r>
      </m:oMath>
      <w:r w:rsidRPr="00D93450">
        <w:rPr>
          <w:rFonts w:eastAsiaTheme="minorEastAsia"/>
        </w:rPr>
        <w:t>and getting the goods there</w:t>
      </w:r>
      <w:r w:rsidR="00D93450" w:rsidRPr="00D93450">
        <w:rPr>
          <w:rFonts w:eastAsiaTheme="minorEastAsia"/>
        </w:rPr>
        <w:t>.</w:t>
      </w:r>
      <w:r w:rsidRPr="00D93450">
        <w:rPr>
          <w:rFonts w:eastAsiaTheme="minorEastAsia"/>
        </w:rPr>
        <w:t xml:space="preserve"> </w:t>
      </w:r>
    </w:p>
    <w:p w:rsidR="006A5099" w:rsidRPr="00D54CA8" w:rsidRDefault="0051396E" w:rsidP="0081477F">
      <w:pPr>
        <w:pStyle w:val="ListParagraph"/>
        <w:numPr>
          <w:ilvl w:val="0"/>
          <w:numId w:val="1"/>
        </w:numPr>
        <w:rPr>
          <w:lang w:val="en-US"/>
        </w:rPr>
      </w:pPr>
      <w:r w:rsidRPr="00D54CA8">
        <w:rPr>
          <w:rFonts w:eastAsiaTheme="minorEastAsia"/>
          <w:lang w:val="en-US"/>
        </w:rPr>
        <w:t>To the c</w:t>
      </w:r>
      <w:r w:rsidR="00EE66C1">
        <w:rPr>
          <w:rFonts w:eastAsiaTheme="minorEastAsia"/>
          <w:lang w:val="en-US"/>
        </w:rPr>
        <w:t>onsumers</w:t>
      </w:r>
      <w:r w:rsidRPr="00D54CA8">
        <w:rPr>
          <w:rFonts w:eastAsiaTheme="minorEastAsia"/>
          <w:lang w:val="en-US"/>
        </w:rPr>
        <w:t>, they see the products from retailer 1 and the products from retailer 2 a</w:t>
      </w:r>
      <w:r w:rsidR="009F6195" w:rsidRPr="00D54CA8">
        <w:rPr>
          <w:rFonts w:eastAsiaTheme="minorEastAsia"/>
          <w:lang w:val="en-US"/>
        </w:rPr>
        <w:t>s</w:t>
      </w:r>
      <w:r w:rsidRPr="00D54CA8">
        <w:rPr>
          <w:rFonts w:eastAsiaTheme="minorEastAsia"/>
          <w:lang w:val="en-US"/>
        </w:rPr>
        <w:t xml:space="preserve"> identical. </w:t>
      </w:r>
      <w:r w:rsidR="00D54CA8" w:rsidRPr="00D54CA8">
        <w:rPr>
          <w:rFonts w:eastAsiaTheme="minorEastAsia"/>
          <w:lang w:val="en-US"/>
        </w:rPr>
        <w:t>So the maximum willingness to pay in each market is jointly determined by the total quantity supplied by both retailers. The inverse demand curves are</w:t>
      </w:r>
      <w:r w:rsidR="006A5099" w:rsidRPr="00D54CA8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=25-0.25(d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D54CA8" w:rsidRPr="00D54CA8" w:rsidRDefault="002B55E0" w:rsidP="00D54CA8">
      <w:pPr>
        <w:ind w:left="36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=25-0.25(d</m:t>
              </m:r>
            </m:e>
            <m:sub>
              <m:r>
                <w:rPr>
                  <w:rFonts w:ascii="Cambria Math" w:eastAsiaTheme="minorEastAsia" w:hAnsi="Cambria Math"/>
                </w:rPr>
                <m:t>B2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00A9A" w:rsidRPr="00FD7D72" w:rsidRDefault="00FD7D72">
      <w:pPr>
        <w:rPr>
          <w:rFonts w:eastAsiaTheme="minorEastAsia"/>
        </w:rPr>
      </w:pPr>
      <w:r>
        <w:tab/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=d</m:t>
              </m:r>
            </m:e>
            <m:sub>
              <m:r>
                <w:rPr>
                  <w:rFonts w:ascii="Cambria Math" w:eastAsiaTheme="minorEastAsia" w:hAnsi="Cambria Math"/>
                </w:rPr>
                <m:t>B1R1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B1R2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R1B1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R2B1</m:t>
              </m:r>
            </m:sub>
          </m:sSub>
        </m:oMath>
      </m:oMathPara>
    </w:p>
    <w:p w:rsidR="00FD7D72" w:rsidRPr="00FD7D72" w:rsidRDefault="00FD7D7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=d</m:t>
              </m:r>
            </m:e>
            <m:sub>
              <m:r>
                <w:rPr>
                  <w:rFonts w:ascii="Cambria Math" w:eastAsiaTheme="minorEastAsia" w:hAnsi="Cambria Math"/>
                </w:rPr>
                <m:t>B2R1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B2R2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R1B2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R2B2</m:t>
              </m:r>
            </m:sub>
          </m:sSub>
        </m:oMath>
      </m:oMathPara>
    </w:p>
    <w:p w:rsidR="00FD7D72" w:rsidRDefault="00FD7D72">
      <w:pPr>
        <w:rPr>
          <w:rFonts w:eastAsiaTheme="minorEastAsia"/>
        </w:rPr>
      </w:pPr>
      <w:r>
        <w:rPr>
          <w:rFonts w:eastAsiaTheme="minorEastAsia"/>
        </w:rPr>
        <w:t>Questions</w:t>
      </w:r>
    </w:p>
    <w:p w:rsidR="00FD7D72" w:rsidRDefault="00FD7D72" w:rsidP="00FD7D72">
      <w:pPr>
        <w:pStyle w:val="ListParagraph"/>
        <w:numPr>
          <w:ilvl w:val="0"/>
          <w:numId w:val="3"/>
        </w:numPr>
        <w:rPr>
          <w:lang w:val="en-US"/>
        </w:rPr>
      </w:pPr>
      <w:r w:rsidRPr="00FD7D72">
        <w:rPr>
          <w:lang w:val="en-US"/>
        </w:rPr>
        <w:t xml:space="preserve">Without any calculation, do you expect the </w:t>
      </w:r>
      <w:r>
        <w:rPr>
          <w:lang w:val="en-US"/>
        </w:rPr>
        <w:t>profits of M1 or M2 to be larger? Why?</w:t>
      </w:r>
    </w:p>
    <w:p w:rsidR="00031165" w:rsidRPr="002B55E0" w:rsidRDefault="00031165" w:rsidP="00031165">
      <w:pPr>
        <w:ind w:left="720"/>
        <w:rPr>
          <w:color w:val="A6A6A6" w:themeColor="background1" w:themeShade="A6"/>
        </w:rPr>
      </w:pPr>
      <w:r w:rsidRPr="002B55E0">
        <w:rPr>
          <w:color w:val="A6A6A6" w:themeColor="background1" w:themeShade="A6"/>
        </w:rPr>
        <w:t>M1 had an advantage on production cost, as shown in the production cost functions.</w:t>
      </w:r>
    </w:p>
    <w:p w:rsidR="001A2790" w:rsidRDefault="001A2790" w:rsidP="00FD7D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down the problem as a VI and solve it. Fill in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7"/>
        <w:gridCol w:w="1147"/>
        <w:gridCol w:w="1140"/>
        <w:gridCol w:w="1080"/>
        <w:gridCol w:w="1045"/>
        <w:gridCol w:w="1045"/>
        <w:gridCol w:w="1013"/>
        <w:gridCol w:w="1013"/>
      </w:tblGrid>
      <w:tr w:rsidR="003756DF" w:rsidTr="00E67AB3">
        <w:tc>
          <w:tcPr>
            <w:tcW w:w="1147" w:type="dxa"/>
          </w:tcPr>
          <w:p w:rsidR="003756DF" w:rsidRPr="001A2790" w:rsidRDefault="002B55E0" w:rsidP="003756DF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M1R1</m:t>
                    </m:r>
                  </m:sub>
                </m:sSub>
              </m:oMath>
            </m:oMathPara>
          </w:p>
        </w:tc>
        <w:tc>
          <w:tcPr>
            <w:tcW w:w="1147" w:type="dxa"/>
          </w:tcPr>
          <w:p w:rsidR="003756DF" w:rsidRPr="001A2790" w:rsidRDefault="002B55E0" w:rsidP="003756DF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M1R2</m:t>
                    </m:r>
                  </m:sub>
                </m:sSub>
              </m:oMath>
            </m:oMathPara>
          </w:p>
        </w:tc>
        <w:tc>
          <w:tcPr>
            <w:tcW w:w="1140" w:type="dxa"/>
          </w:tcPr>
          <w:p w:rsidR="003756DF" w:rsidRPr="001A2790" w:rsidRDefault="002B55E0" w:rsidP="003756DF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M2R1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3756DF" w:rsidRPr="001A2790" w:rsidRDefault="002B55E0" w:rsidP="003756DF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M2R2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:rsidR="003756DF" w:rsidRPr="001A2790" w:rsidRDefault="002B55E0" w:rsidP="003756D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:rsidR="003756DF" w:rsidRPr="001A2790" w:rsidRDefault="002B55E0" w:rsidP="003756D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:rsidR="003756DF" w:rsidRPr="001A2790" w:rsidRDefault="003756DF" w:rsidP="003756DF"/>
        </w:tc>
        <w:tc>
          <w:tcPr>
            <w:tcW w:w="1013" w:type="dxa"/>
          </w:tcPr>
          <w:p w:rsidR="003756DF" w:rsidRPr="001A2790" w:rsidRDefault="003756DF" w:rsidP="003756DF"/>
        </w:tc>
      </w:tr>
      <w:tr w:rsidR="002B55E0" w:rsidRPr="002B55E0" w:rsidTr="00E67AB3">
        <w:tc>
          <w:tcPr>
            <w:tcW w:w="1147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1.038</w:t>
            </w:r>
          </w:p>
        </w:tc>
        <w:tc>
          <w:tcPr>
            <w:tcW w:w="1147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1.038</w:t>
            </w:r>
          </w:p>
        </w:tc>
        <w:tc>
          <w:tcPr>
            <w:tcW w:w="1140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0.779</w:t>
            </w:r>
          </w:p>
        </w:tc>
        <w:tc>
          <w:tcPr>
            <w:tcW w:w="1080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0.779</w:t>
            </w:r>
          </w:p>
        </w:tc>
        <w:tc>
          <w:tcPr>
            <w:tcW w:w="1045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21.729</w:t>
            </w:r>
          </w:p>
        </w:tc>
        <w:tc>
          <w:tcPr>
            <w:tcW w:w="1045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21.729</w:t>
            </w:r>
          </w:p>
        </w:tc>
        <w:tc>
          <w:tcPr>
            <w:tcW w:w="1013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</w:p>
        </w:tc>
        <w:tc>
          <w:tcPr>
            <w:tcW w:w="1013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</w:p>
        </w:tc>
      </w:tr>
      <w:tr w:rsidR="00E67AB3" w:rsidTr="00E67AB3">
        <w:tc>
          <w:tcPr>
            <w:tcW w:w="1147" w:type="dxa"/>
          </w:tcPr>
          <w:p w:rsidR="00E67AB3" w:rsidRPr="001A2790" w:rsidRDefault="002B55E0" w:rsidP="00E67AB3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R1B1</m:t>
                    </m:r>
                  </m:sub>
                </m:sSub>
              </m:oMath>
            </m:oMathPara>
          </w:p>
        </w:tc>
        <w:tc>
          <w:tcPr>
            <w:tcW w:w="1147" w:type="dxa"/>
          </w:tcPr>
          <w:p w:rsidR="00E67AB3" w:rsidRPr="001A2790" w:rsidRDefault="002B55E0" w:rsidP="00E67AB3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R2B1</m:t>
                    </m:r>
                  </m:sub>
                </m:sSub>
              </m:oMath>
            </m:oMathPara>
          </w:p>
        </w:tc>
        <w:tc>
          <w:tcPr>
            <w:tcW w:w="1140" w:type="dxa"/>
          </w:tcPr>
          <w:p w:rsidR="00E67AB3" w:rsidRPr="001A2790" w:rsidRDefault="002B55E0" w:rsidP="00E67AB3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R1B2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E67AB3" w:rsidRPr="001A2790" w:rsidRDefault="002B55E0" w:rsidP="00E67AB3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R2B2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:rsidR="00E67AB3" w:rsidRPr="001A2790" w:rsidRDefault="002B55E0" w:rsidP="00E67A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:rsidR="00E67AB3" w:rsidRPr="001A2790" w:rsidRDefault="002B55E0" w:rsidP="00E67A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:rsidR="00E67AB3" w:rsidRPr="001A2790" w:rsidRDefault="002B55E0" w:rsidP="00E67AB3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:rsidR="00E67AB3" w:rsidRPr="001A2790" w:rsidRDefault="002B55E0" w:rsidP="00E67AB3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B2</m:t>
                    </m:r>
                  </m:sub>
                </m:sSub>
              </m:oMath>
            </m:oMathPara>
          </w:p>
        </w:tc>
      </w:tr>
      <w:tr w:rsidR="002B55E0" w:rsidRPr="002B55E0" w:rsidTr="00E67AB3">
        <w:tc>
          <w:tcPr>
            <w:tcW w:w="1147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0.909</w:t>
            </w:r>
          </w:p>
        </w:tc>
        <w:tc>
          <w:tcPr>
            <w:tcW w:w="1147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0.909</w:t>
            </w:r>
          </w:p>
        </w:tc>
        <w:tc>
          <w:tcPr>
            <w:tcW w:w="1140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0.909</w:t>
            </w:r>
          </w:p>
        </w:tc>
        <w:tc>
          <w:tcPr>
            <w:tcW w:w="1080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0.909</w:t>
            </w:r>
          </w:p>
        </w:tc>
        <w:tc>
          <w:tcPr>
            <w:tcW w:w="1045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24.546</w:t>
            </w:r>
          </w:p>
        </w:tc>
        <w:tc>
          <w:tcPr>
            <w:tcW w:w="1045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24.546</w:t>
            </w:r>
          </w:p>
        </w:tc>
        <w:tc>
          <w:tcPr>
            <w:tcW w:w="1013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1.816</w:t>
            </w:r>
          </w:p>
        </w:tc>
        <w:tc>
          <w:tcPr>
            <w:tcW w:w="1013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1.816</w:t>
            </w:r>
          </w:p>
        </w:tc>
      </w:tr>
      <w:tr w:rsidR="00E67AB3" w:rsidTr="00E67AB3">
        <w:tc>
          <w:tcPr>
            <w:tcW w:w="1147" w:type="dxa"/>
          </w:tcPr>
          <w:p w:rsidR="00E67AB3" w:rsidRPr="001A2790" w:rsidRDefault="00E67AB3" w:rsidP="00E67AB3">
            <w:r>
              <w:t>Profit(M1)</w:t>
            </w:r>
          </w:p>
        </w:tc>
        <w:tc>
          <w:tcPr>
            <w:tcW w:w="1147" w:type="dxa"/>
          </w:tcPr>
          <w:p w:rsidR="00E67AB3" w:rsidRPr="001A2790" w:rsidRDefault="00E67AB3" w:rsidP="00E67AB3">
            <w:r>
              <w:t>Profit(M2)</w:t>
            </w:r>
          </w:p>
        </w:tc>
        <w:tc>
          <w:tcPr>
            <w:tcW w:w="1140" w:type="dxa"/>
          </w:tcPr>
          <w:p w:rsidR="00E67AB3" w:rsidRPr="001A2790" w:rsidRDefault="00E67AB3" w:rsidP="00E67AB3">
            <w:r>
              <w:t>Profit(R1)</w:t>
            </w:r>
          </w:p>
        </w:tc>
        <w:tc>
          <w:tcPr>
            <w:tcW w:w="1080" w:type="dxa"/>
          </w:tcPr>
          <w:p w:rsidR="00E67AB3" w:rsidRPr="001A2790" w:rsidRDefault="00E67AB3" w:rsidP="00E67AB3">
            <w:r>
              <w:t>Profit(R2)</w:t>
            </w:r>
          </w:p>
        </w:tc>
        <w:tc>
          <w:tcPr>
            <w:tcW w:w="1045" w:type="dxa"/>
          </w:tcPr>
          <w:p w:rsidR="00E67AB3" w:rsidRPr="001A2790" w:rsidRDefault="00E67AB3" w:rsidP="00E67AB3">
            <w:r>
              <w:t>CS(B1)</w:t>
            </w:r>
          </w:p>
        </w:tc>
        <w:tc>
          <w:tcPr>
            <w:tcW w:w="1045" w:type="dxa"/>
          </w:tcPr>
          <w:p w:rsidR="00E67AB3" w:rsidRPr="001A2790" w:rsidRDefault="00E67AB3" w:rsidP="00E67AB3">
            <w:r>
              <w:t>CS(B2)</w:t>
            </w:r>
          </w:p>
        </w:tc>
        <w:tc>
          <w:tcPr>
            <w:tcW w:w="1013" w:type="dxa"/>
          </w:tcPr>
          <w:p w:rsidR="00E67AB3" w:rsidRPr="001A2790" w:rsidRDefault="00E67AB3" w:rsidP="00E67AB3"/>
        </w:tc>
        <w:tc>
          <w:tcPr>
            <w:tcW w:w="1013" w:type="dxa"/>
          </w:tcPr>
          <w:p w:rsidR="00E67AB3" w:rsidRPr="001A2790" w:rsidRDefault="00E67AB3" w:rsidP="00E67AB3"/>
        </w:tc>
      </w:tr>
      <w:tr w:rsidR="002B55E0" w:rsidRPr="002B55E0" w:rsidTr="00E67AB3">
        <w:tc>
          <w:tcPr>
            <w:tcW w:w="1147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10.938</w:t>
            </w:r>
          </w:p>
        </w:tc>
        <w:tc>
          <w:tcPr>
            <w:tcW w:w="1147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6.703</w:t>
            </w:r>
          </w:p>
        </w:tc>
        <w:tc>
          <w:tcPr>
            <w:tcW w:w="1140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6.604</w:t>
            </w:r>
          </w:p>
        </w:tc>
        <w:tc>
          <w:tcPr>
            <w:tcW w:w="1080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6.604</w:t>
            </w:r>
          </w:p>
        </w:tc>
        <w:tc>
          <w:tcPr>
            <w:tcW w:w="1045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1.651</w:t>
            </w:r>
          </w:p>
        </w:tc>
        <w:tc>
          <w:tcPr>
            <w:tcW w:w="1045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1.651</w:t>
            </w:r>
          </w:p>
        </w:tc>
        <w:tc>
          <w:tcPr>
            <w:tcW w:w="1013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</w:p>
        </w:tc>
        <w:tc>
          <w:tcPr>
            <w:tcW w:w="1013" w:type="dxa"/>
          </w:tcPr>
          <w:p w:rsidR="00E67AB3" w:rsidRPr="002B55E0" w:rsidRDefault="00E67AB3" w:rsidP="00E67AB3">
            <w:pPr>
              <w:rPr>
                <w:color w:val="A6A6A6" w:themeColor="background1" w:themeShade="A6"/>
              </w:rPr>
            </w:pPr>
          </w:p>
        </w:tc>
      </w:tr>
    </w:tbl>
    <w:p w:rsidR="001A2790" w:rsidRDefault="001A2790" w:rsidP="001A2790"/>
    <w:p w:rsidR="00B1225A" w:rsidRDefault="00E91EA7" w:rsidP="00B1225A">
      <w:pPr>
        <w:pStyle w:val="ListParagraph"/>
        <w:numPr>
          <w:ilvl w:val="0"/>
          <w:numId w:val="3"/>
        </w:numPr>
        <w:rPr>
          <w:lang w:val="en-US"/>
        </w:rPr>
      </w:pPr>
      <w:r w:rsidRPr="00E91EA7">
        <w:rPr>
          <w:lang w:val="en-US"/>
        </w:rPr>
        <w:t xml:space="preserve">Previously Country 1 and Country 2 are in the same </w:t>
      </w:r>
      <w:r>
        <w:rPr>
          <w:lang w:val="en-US"/>
        </w:rPr>
        <w:t>economic union in the sense that free trade are facilitated. Now</w:t>
      </w:r>
      <w:r w:rsidR="0014475C">
        <w:rPr>
          <w:lang w:val="en-US"/>
        </w:rPr>
        <w:t xml:space="preserve"> suppose that Country 2 has decided to exit fro</w:t>
      </w:r>
      <w:r w:rsidR="00850279">
        <w:rPr>
          <w:lang w:val="en-US"/>
        </w:rPr>
        <w:t>m the union. This has two consequences: first, a tariff of 2</w:t>
      </w:r>
      <w:bookmarkStart w:id="0" w:name="_GoBack"/>
      <w:bookmarkEnd w:id="0"/>
      <w:r w:rsidR="00850279">
        <w:rPr>
          <w:lang w:val="en-US"/>
        </w:rPr>
        <w:t xml:space="preserve"> euro is charged on the manufacturers when they sell </w:t>
      </w:r>
      <w:r w:rsidR="00E67AB3">
        <w:rPr>
          <w:lang w:val="en-US"/>
        </w:rPr>
        <w:t xml:space="preserve">a unit of goods </w:t>
      </w:r>
      <w:r w:rsidR="00850279">
        <w:rPr>
          <w:lang w:val="en-US"/>
        </w:rPr>
        <w:t xml:space="preserve">to the retailers </w:t>
      </w:r>
      <w:r w:rsidR="00B1225A">
        <w:rPr>
          <w:lang w:val="en-US"/>
        </w:rPr>
        <w:t xml:space="preserve">of the other country; second, the transaction costs of the customers buying the product from the retailer in the other country becomes double the original transaction costs due to exchange rates. </w:t>
      </w:r>
    </w:p>
    <w:p w:rsidR="00B1225A" w:rsidRDefault="00B1225A" w:rsidP="00B1225A">
      <w:pPr>
        <w:pStyle w:val="ListParagraph"/>
        <w:rPr>
          <w:lang w:val="en-US"/>
        </w:rPr>
      </w:pPr>
      <w:r>
        <w:rPr>
          <w:lang w:val="en-US"/>
        </w:rPr>
        <w:t>Write down these changes in the model.</w:t>
      </w:r>
    </w:p>
    <w:p w:rsidR="00E67AB3" w:rsidRPr="002B55E0" w:rsidRDefault="002B55E0" w:rsidP="00E67AB3">
      <w:pPr>
        <w:rPr>
          <w:rFonts w:eastAsiaTheme="minorEastAsia"/>
          <w:color w:val="A6A6A6" w:themeColor="background1" w:themeShade="A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6A6A6" w:themeColor="background1" w:themeShade="A6"/>
                </w:rPr>
              </m:ctrlPr>
            </m:sSubPr>
            <m:e>
              <m:r>
                <w:rPr>
                  <w:rFonts w:ascii="Cambria Math" w:hAnsi="Cambria Math"/>
                  <w:color w:val="A6A6A6" w:themeColor="background1" w:themeShade="A6"/>
                </w:rPr>
                <m:t>c</m:t>
              </m:r>
            </m:e>
            <m:sub>
              <m:r>
                <w:rPr>
                  <w:rFonts w:ascii="Cambria Math" w:hAnsi="Cambria Math"/>
                  <w:color w:val="A6A6A6" w:themeColor="background1" w:themeShade="A6"/>
                </w:rPr>
                <m:t>M1R2</m:t>
              </m:r>
            </m:sub>
          </m:sSub>
          <m:r>
            <w:rPr>
              <w:rFonts w:ascii="Cambria Math" w:hAnsi="Cambria Math"/>
              <w:color w:val="A6A6A6" w:themeColor="background1" w:themeShade="A6"/>
            </w:rPr>
            <m:t>=2+2</m:t>
          </m:r>
          <m:sSub>
            <m:sSubPr>
              <m:ctrlPr>
                <w:rPr>
                  <w:rFonts w:ascii="Cambria Math" w:hAnsi="Cambria Math"/>
                  <w:i/>
                  <w:color w:val="A6A6A6" w:themeColor="background1" w:themeShade="A6"/>
                </w:rPr>
              </m:ctrlPr>
            </m:sSubPr>
            <m:e>
              <m:r>
                <w:rPr>
                  <w:rFonts w:ascii="Cambria Math" w:hAnsi="Cambria Math"/>
                  <w:color w:val="A6A6A6" w:themeColor="background1" w:themeShade="A6"/>
                </w:rPr>
                <m:t>q</m:t>
              </m:r>
            </m:e>
            <m:sub>
              <m:r>
                <w:rPr>
                  <w:rFonts w:ascii="Cambria Math" w:hAnsi="Cambria Math"/>
                  <w:color w:val="A6A6A6" w:themeColor="background1" w:themeShade="A6"/>
                </w:rPr>
                <m:t>M1R2</m:t>
              </m:r>
            </m:sub>
          </m:sSub>
          <m:r>
            <w:rPr>
              <w:rFonts w:ascii="Cambria Math" w:hAnsi="Cambria Math"/>
              <w:color w:val="A6A6A6" w:themeColor="background1" w:themeShade="A6"/>
            </w:rPr>
            <m:t>+2</m:t>
          </m:r>
        </m:oMath>
      </m:oMathPara>
    </w:p>
    <w:p w:rsidR="00E67AB3" w:rsidRPr="002B55E0" w:rsidRDefault="002B55E0" w:rsidP="00E67AB3">
      <w:pPr>
        <w:rPr>
          <w:rFonts w:eastAsiaTheme="minorEastAsia"/>
          <w:color w:val="A6A6A6" w:themeColor="background1" w:themeShade="A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6A6A6" w:themeColor="background1" w:themeShade="A6"/>
                </w:rPr>
              </m:ctrlPr>
            </m:sSubPr>
            <m:e>
              <m:r>
                <w:rPr>
                  <w:rFonts w:ascii="Cambria Math" w:hAnsi="Cambria Math"/>
                  <w:color w:val="A6A6A6" w:themeColor="background1" w:themeShade="A6"/>
                </w:rPr>
                <m:t>c</m:t>
              </m:r>
            </m:e>
            <m:sub>
              <m:r>
                <w:rPr>
                  <w:rFonts w:ascii="Cambria Math" w:hAnsi="Cambria Math"/>
                  <w:color w:val="A6A6A6" w:themeColor="background1" w:themeShade="A6"/>
                </w:rPr>
                <m:t>M2R1</m:t>
              </m:r>
            </m:sub>
          </m:sSub>
          <m:r>
            <w:rPr>
              <w:rFonts w:ascii="Cambria Math" w:hAnsi="Cambria Math"/>
              <w:color w:val="A6A6A6" w:themeColor="background1" w:themeShade="A6"/>
            </w:rPr>
            <m:t>=2+2</m:t>
          </m:r>
          <m:sSub>
            <m:sSubPr>
              <m:ctrlPr>
                <w:rPr>
                  <w:rFonts w:ascii="Cambria Math" w:hAnsi="Cambria Math"/>
                  <w:i/>
                  <w:color w:val="A6A6A6" w:themeColor="background1" w:themeShade="A6"/>
                </w:rPr>
              </m:ctrlPr>
            </m:sSubPr>
            <m:e>
              <m:r>
                <w:rPr>
                  <w:rFonts w:ascii="Cambria Math" w:hAnsi="Cambria Math"/>
                  <w:color w:val="A6A6A6" w:themeColor="background1" w:themeShade="A6"/>
                </w:rPr>
                <m:t>q</m:t>
              </m:r>
            </m:e>
            <m:sub>
              <m:r>
                <w:rPr>
                  <w:rFonts w:ascii="Cambria Math" w:hAnsi="Cambria Math"/>
                  <w:color w:val="A6A6A6" w:themeColor="background1" w:themeShade="A6"/>
                </w:rPr>
                <m:t>M2R1</m:t>
              </m:r>
            </m:sub>
          </m:sSub>
          <m:r>
            <w:rPr>
              <w:rFonts w:ascii="Cambria Math" w:hAnsi="Cambria Math"/>
              <w:color w:val="A6A6A6" w:themeColor="background1" w:themeShade="A6"/>
            </w:rPr>
            <m:t>+2</m:t>
          </m:r>
        </m:oMath>
      </m:oMathPara>
    </w:p>
    <w:p w:rsidR="00E67AB3" w:rsidRPr="002B55E0" w:rsidRDefault="002B55E0" w:rsidP="00E67AB3">
      <w:pPr>
        <w:ind w:left="360"/>
        <w:rPr>
          <w:rFonts w:eastAsiaTheme="minorEastAsia"/>
          <w:color w:val="A6A6A6" w:themeColor="background1" w:themeShade="A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6A6A6" w:themeColor="background1" w:themeShade="A6"/>
                </w:rPr>
              </m:ctrlPr>
            </m:sSubPr>
            <m:e>
              <m:r>
                <w:rPr>
                  <w:rFonts w:ascii="Cambria Math" w:hAnsi="Cambria Math"/>
                  <w:color w:val="A6A6A6" w:themeColor="background1" w:themeShade="A6"/>
                </w:rPr>
                <m:t>c</m:t>
              </m:r>
            </m:e>
            <m:sub>
              <m:r>
                <w:rPr>
                  <w:rFonts w:ascii="Cambria Math" w:hAnsi="Cambria Math"/>
                  <w:color w:val="A6A6A6" w:themeColor="background1" w:themeShade="A6"/>
                </w:rPr>
                <m:t>R1B2</m:t>
              </m:r>
            </m:sub>
          </m:sSub>
          <m:r>
            <w:rPr>
              <w:rFonts w:ascii="Cambria Math" w:hAnsi="Cambria Math"/>
              <w:color w:val="A6A6A6" w:themeColor="background1" w:themeShade="A6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</w:rPr>
              </m:ctrlPr>
            </m:dPr>
            <m:e>
              <m:r>
                <w:rPr>
                  <w:rFonts w:ascii="Cambria Math" w:hAnsi="Cambria Math"/>
                  <w:color w:val="A6A6A6" w:themeColor="background1" w:themeShade="A6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6A6A6" w:themeColor="background1" w:themeShade="A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</w:rPr>
                    <m:t>R1B2</m:t>
                  </m:r>
                </m:sub>
                <m:sup/>
              </m:sSubSup>
              <m:r>
                <w:rPr>
                  <w:rFonts w:ascii="Cambria Math" w:hAnsi="Cambria Math"/>
                  <w:color w:val="A6A6A6" w:themeColor="background1" w:themeShade="A6"/>
                </w:rPr>
                <m:t>+1</m:t>
              </m:r>
            </m:e>
          </m:d>
          <m:r>
            <w:rPr>
              <w:rFonts w:ascii="Cambria Math" w:hAnsi="Cambria Math"/>
              <w:color w:val="A6A6A6" w:themeColor="background1" w:themeShade="A6"/>
            </w:rPr>
            <m:t>*2</m:t>
          </m:r>
        </m:oMath>
      </m:oMathPara>
    </w:p>
    <w:p w:rsidR="00E67AB3" w:rsidRPr="002B55E0" w:rsidRDefault="002B55E0" w:rsidP="00E67AB3">
      <w:pPr>
        <w:ind w:left="360"/>
        <w:rPr>
          <w:rFonts w:eastAsiaTheme="minorEastAsia"/>
          <w:color w:val="A6A6A6" w:themeColor="background1" w:themeShade="A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6A6A6" w:themeColor="background1" w:themeShade="A6"/>
                </w:rPr>
              </m:ctrlPr>
            </m:sSubPr>
            <m:e>
              <m:r>
                <w:rPr>
                  <w:rFonts w:ascii="Cambria Math" w:hAnsi="Cambria Math"/>
                  <w:color w:val="A6A6A6" w:themeColor="background1" w:themeShade="A6"/>
                </w:rPr>
                <m:t>c</m:t>
              </m:r>
            </m:e>
            <m:sub>
              <m:r>
                <w:rPr>
                  <w:rFonts w:ascii="Cambria Math" w:hAnsi="Cambria Math"/>
                  <w:color w:val="A6A6A6" w:themeColor="background1" w:themeShade="A6"/>
                </w:rPr>
                <m:t>R2B1</m:t>
              </m:r>
            </m:sub>
          </m:sSub>
          <m:r>
            <w:rPr>
              <w:rFonts w:ascii="Cambria Math" w:hAnsi="Cambria Math"/>
              <w:color w:val="A6A6A6" w:themeColor="background1" w:themeShade="A6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</w:rPr>
              </m:ctrlPr>
            </m:dPr>
            <m:e>
              <m:r>
                <w:rPr>
                  <w:rFonts w:ascii="Cambria Math" w:hAnsi="Cambria Math"/>
                  <w:color w:val="A6A6A6" w:themeColor="background1" w:themeShade="A6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6A6A6" w:themeColor="background1" w:themeShade="A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</w:rPr>
                    <m:t>R2B1</m:t>
                  </m:r>
                </m:sub>
                <m:sup/>
              </m:sSubSup>
              <m:r>
                <w:rPr>
                  <w:rFonts w:ascii="Cambria Math" w:hAnsi="Cambria Math"/>
                  <w:color w:val="A6A6A6" w:themeColor="background1" w:themeShade="A6"/>
                </w:rPr>
                <m:t>+1</m:t>
              </m:r>
            </m:e>
          </m:d>
          <m:r>
            <w:rPr>
              <w:rFonts w:ascii="Cambria Math" w:hAnsi="Cambria Math"/>
              <w:color w:val="A6A6A6" w:themeColor="background1" w:themeShade="A6"/>
            </w:rPr>
            <m:t>*2</m:t>
          </m:r>
        </m:oMath>
      </m:oMathPara>
    </w:p>
    <w:tbl>
      <w:tblPr>
        <w:tblStyle w:val="TableGrid"/>
        <w:tblpPr w:leftFromText="180" w:rightFromText="180" w:vertAnchor="text" w:horzAnchor="margin" w:tblpXSpec="center" w:tblpY="386"/>
        <w:tblW w:w="0" w:type="auto"/>
        <w:tblLook w:val="04A0" w:firstRow="1" w:lastRow="0" w:firstColumn="1" w:lastColumn="0" w:noHBand="0" w:noVBand="1"/>
      </w:tblPr>
      <w:tblGrid>
        <w:gridCol w:w="1147"/>
        <w:gridCol w:w="1147"/>
        <w:gridCol w:w="1140"/>
        <w:gridCol w:w="1080"/>
        <w:gridCol w:w="1043"/>
        <w:gridCol w:w="1043"/>
        <w:gridCol w:w="1015"/>
        <w:gridCol w:w="1015"/>
      </w:tblGrid>
      <w:tr w:rsidR="00EE66C1" w:rsidTr="00EE66C1">
        <w:tc>
          <w:tcPr>
            <w:tcW w:w="1147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M1R1</m:t>
                    </m:r>
                  </m:sub>
                </m:sSub>
              </m:oMath>
            </m:oMathPara>
          </w:p>
        </w:tc>
        <w:tc>
          <w:tcPr>
            <w:tcW w:w="1147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M1R2</m:t>
                    </m:r>
                  </m:sub>
                </m:sSub>
              </m:oMath>
            </m:oMathPara>
          </w:p>
        </w:tc>
        <w:tc>
          <w:tcPr>
            <w:tcW w:w="1140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M2R1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M2R2</m:t>
                    </m:r>
                  </m:sub>
                </m:sSub>
              </m:oMath>
            </m:oMathPara>
          </w:p>
        </w:tc>
        <w:tc>
          <w:tcPr>
            <w:tcW w:w="1043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1043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EE66C1" w:rsidRPr="001A2790" w:rsidRDefault="00EE66C1" w:rsidP="00EE66C1"/>
        </w:tc>
        <w:tc>
          <w:tcPr>
            <w:tcW w:w="1015" w:type="dxa"/>
          </w:tcPr>
          <w:p w:rsidR="00EE66C1" w:rsidRPr="001A2790" w:rsidRDefault="00EE66C1" w:rsidP="00EE66C1"/>
        </w:tc>
      </w:tr>
      <w:tr w:rsidR="00EE66C1" w:rsidTr="00EE66C1">
        <w:tc>
          <w:tcPr>
            <w:tcW w:w="1147" w:type="dxa"/>
          </w:tcPr>
          <w:p w:rsidR="00EE66C1" w:rsidRPr="001A2790" w:rsidRDefault="00EE66C1" w:rsidP="00EE66C1"/>
        </w:tc>
        <w:tc>
          <w:tcPr>
            <w:tcW w:w="1147" w:type="dxa"/>
          </w:tcPr>
          <w:p w:rsidR="00EE66C1" w:rsidRPr="001A2790" w:rsidRDefault="00EE66C1" w:rsidP="00EE66C1"/>
        </w:tc>
        <w:tc>
          <w:tcPr>
            <w:tcW w:w="1140" w:type="dxa"/>
          </w:tcPr>
          <w:p w:rsidR="00EE66C1" w:rsidRPr="001A2790" w:rsidRDefault="00EE66C1" w:rsidP="00EE66C1"/>
        </w:tc>
        <w:tc>
          <w:tcPr>
            <w:tcW w:w="1080" w:type="dxa"/>
          </w:tcPr>
          <w:p w:rsidR="00EE66C1" w:rsidRPr="001A2790" w:rsidRDefault="00EE66C1" w:rsidP="00EE66C1"/>
        </w:tc>
        <w:tc>
          <w:tcPr>
            <w:tcW w:w="1043" w:type="dxa"/>
          </w:tcPr>
          <w:p w:rsidR="00EE66C1" w:rsidRPr="001A2790" w:rsidRDefault="00EE66C1" w:rsidP="00EE66C1"/>
        </w:tc>
        <w:tc>
          <w:tcPr>
            <w:tcW w:w="1043" w:type="dxa"/>
          </w:tcPr>
          <w:p w:rsidR="00EE66C1" w:rsidRPr="001A2790" w:rsidRDefault="00EE66C1" w:rsidP="00EE66C1"/>
        </w:tc>
        <w:tc>
          <w:tcPr>
            <w:tcW w:w="1015" w:type="dxa"/>
          </w:tcPr>
          <w:p w:rsidR="00EE66C1" w:rsidRPr="001A2790" w:rsidRDefault="00EE66C1" w:rsidP="00EE66C1"/>
        </w:tc>
        <w:tc>
          <w:tcPr>
            <w:tcW w:w="1015" w:type="dxa"/>
          </w:tcPr>
          <w:p w:rsidR="00EE66C1" w:rsidRPr="001A2790" w:rsidRDefault="00EE66C1" w:rsidP="00EE66C1"/>
        </w:tc>
      </w:tr>
      <w:tr w:rsidR="00EE66C1" w:rsidTr="00EE66C1">
        <w:tc>
          <w:tcPr>
            <w:tcW w:w="1147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R1B1</m:t>
                    </m:r>
                  </m:sub>
                </m:sSub>
              </m:oMath>
            </m:oMathPara>
          </w:p>
        </w:tc>
        <w:tc>
          <w:tcPr>
            <w:tcW w:w="1147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R2B1</m:t>
                    </m:r>
                  </m:sub>
                </m:sSub>
              </m:oMath>
            </m:oMathPara>
          </w:p>
        </w:tc>
        <w:tc>
          <w:tcPr>
            <w:tcW w:w="1140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R1B2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R2B2</m:t>
                    </m:r>
                  </m:sub>
                </m:sSub>
              </m:oMath>
            </m:oMathPara>
          </w:p>
        </w:tc>
        <w:tc>
          <w:tcPr>
            <w:tcW w:w="1043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043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B2</m:t>
                    </m:r>
                  </m:sub>
                </m:sSub>
              </m:oMath>
            </m:oMathPara>
          </w:p>
        </w:tc>
      </w:tr>
      <w:tr w:rsidR="00EE66C1" w:rsidTr="00EE66C1">
        <w:tc>
          <w:tcPr>
            <w:tcW w:w="1147" w:type="dxa"/>
          </w:tcPr>
          <w:p w:rsidR="00EE66C1" w:rsidRPr="001A2790" w:rsidRDefault="00EE66C1" w:rsidP="00EE66C1"/>
        </w:tc>
        <w:tc>
          <w:tcPr>
            <w:tcW w:w="1147" w:type="dxa"/>
          </w:tcPr>
          <w:p w:rsidR="00EE66C1" w:rsidRPr="001A2790" w:rsidRDefault="00EE66C1" w:rsidP="00EE66C1"/>
        </w:tc>
        <w:tc>
          <w:tcPr>
            <w:tcW w:w="1140" w:type="dxa"/>
          </w:tcPr>
          <w:p w:rsidR="00EE66C1" w:rsidRPr="001A2790" w:rsidRDefault="00EE66C1" w:rsidP="00EE66C1"/>
        </w:tc>
        <w:tc>
          <w:tcPr>
            <w:tcW w:w="1080" w:type="dxa"/>
          </w:tcPr>
          <w:p w:rsidR="00EE66C1" w:rsidRPr="001A2790" w:rsidRDefault="00EE66C1" w:rsidP="00EE66C1"/>
        </w:tc>
        <w:tc>
          <w:tcPr>
            <w:tcW w:w="1043" w:type="dxa"/>
          </w:tcPr>
          <w:p w:rsidR="00EE66C1" w:rsidRPr="001A2790" w:rsidRDefault="00EE66C1" w:rsidP="00EE66C1"/>
        </w:tc>
        <w:tc>
          <w:tcPr>
            <w:tcW w:w="1043" w:type="dxa"/>
          </w:tcPr>
          <w:p w:rsidR="00EE66C1" w:rsidRPr="001A2790" w:rsidRDefault="00EE66C1" w:rsidP="00EE66C1"/>
        </w:tc>
        <w:tc>
          <w:tcPr>
            <w:tcW w:w="1015" w:type="dxa"/>
          </w:tcPr>
          <w:p w:rsidR="00EE66C1" w:rsidRPr="001A2790" w:rsidRDefault="00EE66C1" w:rsidP="00EE66C1"/>
        </w:tc>
        <w:tc>
          <w:tcPr>
            <w:tcW w:w="1015" w:type="dxa"/>
          </w:tcPr>
          <w:p w:rsidR="00EE66C1" w:rsidRPr="001A2790" w:rsidRDefault="00EE66C1" w:rsidP="00EE66C1"/>
        </w:tc>
      </w:tr>
      <w:tr w:rsidR="00EE66C1" w:rsidTr="00EE66C1">
        <w:tc>
          <w:tcPr>
            <w:tcW w:w="1147" w:type="dxa"/>
          </w:tcPr>
          <w:p w:rsidR="00EE66C1" w:rsidRPr="001A2790" w:rsidRDefault="00EE66C1" w:rsidP="00EE66C1">
            <w:r>
              <w:t>Profit(M1)</w:t>
            </w:r>
          </w:p>
        </w:tc>
        <w:tc>
          <w:tcPr>
            <w:tcW w:w="1147" w:type="dxa"/>
          </w:tcPr>
          <w:p w:rsidR="00EE66C1" w:rsidRPr="001A2790" w:rsidRDefault="00EE66C1" w:rsidP="00EE66C1">
            <w:r>
              <w:t>Profit(M2)</w:t>
            </w:r>
          </w:p>
        </w:tc>
        <w:tc>
          <w:tcPr>
            <w:tcW w:w="1140" w:type="dxa"/>
          </w:tcPr>
          <w:p w:rsidR="00EE66C1" w:rsidRPr="001A2790" w:rsidRDefault="00EE66C1" w:rsidP="00EE66C1">
            <w:r>
              <w:t>Profit(R1)</w:t>
            </w:r>
          </w:p>
        </w:tc>
        <w:tc>
          <w:tcPr>
            <w:tcW w:w="1080" w:type="dxa"/>
          </w:tcPr>
          <w:p w:rsidR="00EE66C1" w:rsidRPr="001A2790" w:rsidRDefault="00EE66C1" w:rsidP="00EE66C1">
            <w:r>
              <w:t>Profit(R2)</w:t>
            </w:r>
          </w:p>
        </w:tc>
        <w:tc>
          <w:tcPr>
            <w:tcW w:w="1043" w:type="dxa"/>
          </w:tcPr>
          <w:p w:rsidR="00EE66C1" w:rsidRPr="001A2790" w:rsidRDefault="00EE66C1" w:rsidP="00EE66C1">
            <w:r>
              <w:t>CS(B1)</w:t>
            </w:r>
          </w:p>
        </w:tc>
        <w:tc>
          <w:tcPr>
            <w:tcW w:w="1043" w:type="dxa"/>
          </w:tcPr>
          <w:p w:rsidR="00EE66C1" w:rsidRPr="001A2790" w:rsidRDefault="00EE66C1" w:rsidP="00EE66C1">
            <w:r>
              <w:t>CS(B2)</w:t>
            </w:r>
          </w:p>
        </w:tc>
        <w:tc>
          <w:tcPr>
            <w:tcW w:w="1015" w:type="dxa"/>
          </w:tcPr>
          <w:p w:rsidR="00EE66C1" w:rsidRPr="001A2790" w:rsidRDefault="00EE66C1" w:rsidP="00EE66C1"/>
        </w:tc>
        <w:tc>
          <w:tcPr>
            <w:tcW w:w="1015" w:type="dxa"/>
          </w:tcPr>
          <w:p w:rsidR="00EE66C1" w:rsidRPr="001A2790" w:rsidRDefault="00EE66C1" w:rsidP="00EE66C1"/>
        </w:tc>
      </w:tr>
      <w:tr w:rsidR="00EE66C1" w:rsidTr="00EE66C1">
        <w:tc>
          <w:tcPr>
            <w:tcW w:w="1147" w:type="dxa"/>
          </w:tcPr>
          <w:p w:rsidR="00EE66C1" w:rsidRDefault="00EE66C1" w:rsidP="00EE66C1"/>
        </w:tc>
        <w:tc>
          <w:tcPr>
            <w:tcW w:w="1147" w:type="dxa"/>
          </w:tcPr>
          <w:p w:rsidR="00EE66C1" w:rsidRDefault="00EE66C1" w:rsidP="00EE66C1"/>
        </w:tc>
        <w:tc>
          <w:tcPr>
            <w:tcW w:w="1140" w:type="dxa"/>
          </w:tcPr>
          <w:p w:rsidR="00EE66C1" w:rsidRDefault="00EE66C1" w:rsidP="00EE66C1"/>
        </w:tc>
        <w:tc>
          <w:tcPr>
            <w:tcW w:w="1080" w:type="dxa"/>
          </w:tcPr>
          <w:p w:rsidR="00EE66C1" w:rsidRDefault="00EE66C1" w:rsidP="00EE66C1"/>
        </w:tc>
        <w:tc>
          <w:tcPr>
            <w:tcW w:w="1043" w:type="dxa"/>
          </w:tcPr>
          <w:p w:rsidR="00EE66C1" w:rsidRPr="001A2790" w:rsidRDefault="00EE66C1" w:rsidP="00EE66C1"/>
        </w:tc>
        <w:tc>
          <w:tcPr>
            <w:tcW w:w="1043" w:type="dxa"/>
          </w:tcPr>
          <w:p w:rsidR="00EE66C1" w:rsidRPr="001A2790" w:rsidRDefault="00EE66C1" w:rsidP="00EE66C1"/>
        </w:tc>
        <w:tc>
          <w:tcPr>
            <w:tcW w:w="1015" w:type="dxa"/>
          </w:tcPr>
          <w:p w:rsidR="00EE66C1" w:rsidRPr="001A2790" w:rsidRDefault="00EE66C1" w:rsidP="00EE66C1"/>
        </w:tc>
        <w:tc>
          <w:tcPr>
            <w:tcW w:w="1015" w:type="dxa"/>
          </w:tcPr>
          <w:p w:rsidR="00EE66C1" w:rsidRPr="001A2790" w:rsidRDefault="00EE66C1" w:rsidP="00EE66C1"/>
        </w:tc>
      </w:tr>
    </w:tbl>
    <w:p w:rsidR="00B1225A" w:rsidRDefault="00B1225A" w:rsidP="00B1225A">
      <w:pPr>
        <w:pStyle w:val="ListParagraph"/>
        <w:numPr>
          <w:ilvl w:val="0"/>
          <w:numId w:val="3"/>
        </w:numPr>
        <w:rPr>
          <w:lang w:val="en-US"/>
        </w:rPr>
      </w:pPr>
      <w:r w:rsidRPr="00B1225A">
        <w:rPr>
          <w:lang w:val="en-US"/>
        </w:rPr>
        <w:t>What changes</w:t>
      </w:r>
      <w:r>
        <w:rPr>
          <w:lang w:val="en-US"/>
        </w:rPr>
        <w:t xml:space="preserve"> do you expect in the results?</w:t>
      </w:r>
    </w:p>
    <w:p w:rsidR="00EE66C1" w:rsidRPr="00EE66C1" w:rsidRDefault="00EE66C1" w:rsidP="00EE66C1">
      <w:pPr>
        <w:ind w:left="360"/>
      </w:pPr>
    </w:p>
    <w:p w:rsidR="00B1225A" w:rsidRDefault="00B1225A" w:rsidP="00B122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Solve the VI problem again with these changes and fill in the table:</w:t>
      </w:r>
    </w:p>
    <w:tbl>
      <w:tblPr>
        <w:tblStyle w:val="TableGrid"/>
        <w:tblpPr w:leftFromText="180" w:rightFromText="180" w:vertAnchor="text" w:horzAnchor="margin" w:tblpXSpec="center" w:tblpY="59"/>
        <w:tblW w:w="0" w:type="auto"/>
        <w:tblLook w:val="04A0" w:firstRow="1" w:lastRow="0" w:firstColumn="1" w:lastColumn="0" w:noHBand="0" w:noVBand="1"/>
      </w:tblPr>
      <w:tblGrid>
        <w:gridCol w:w="1147"/>
        <w:gridCol w:w="1147"/>
        <w:gridCol w:w="1140"/>
        <w:gridCol w:w="1080"/>
        <w:gridCol w:w="1042"/>
        <w:gridCol w:w="1042"/>
        <w:gridCol w:w="1007"/>
        <w:gridCol w:w="1025"/>
      </w:tblGrid>
      <w:tr w:rsidR="00EE66C1" w:rsidTr="00EE66C1">
        <w:tc>
          <w:tcPr>
            <w:tcW w:w="1147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M1R1</m:t>
                    </m:r>
                  </m:sub>
                </m:sSub>
              </m:oMath>
            </m:oMathPara>
          </w:p>
        </w:tc>
        <w:tc>
          <w:tcPr>
            <w:tcW w:w="1147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M1R2</m:t>
                    </m:r>
                  </m:sub>
                </m:sSub>
              </m:oMath>
            </m:oMathPara>
          </w:p>
        </w:tc>
        <w:tc>
          <w:tcPr>
            <w:tcW w:w="1140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M2R1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M2R2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007" w:type="dxa"/>
          </w:tcPr>
          <w:p w:rsidR="00EE66C1" w:rsidRPr="001A2790" w:rsidRDefault="00EE66C1" w:rsidP="00EE66C1"/>
        </w:tc>
        <w:tc>
          <w:tcPr>
            <w:tcW w:w="1025" w:type="dxa"/>
          </w:tcPr>
          <w:p w:rsidR="00EE66C1" w:rsidRPr="001A2790" w:rsidRDefault="00EE66C1" w:rsidP="00EE66C1"/>
        </w:tc>
      </w:tr>
      <w:tr w:rsidR="002B55E0" w:rsidRPr="002B55E0" w:rsidTr="00EE66C1">
        <w:tc>
          <w:tcPr>
            <w:tcW w:w="1147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1.017</w:t>
            </w:r>
          </w:p>
        </w:tc>
        <w:tc>
          <w:tcPr>
            <w:tcW w:w="1147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0.881</w:t>
            </w:r>
          </w:p>
        </w:tc>
        <w:tc>
          <w:tcPr>
            <w:tcW w:w="1140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0.780</w:t>
            </w:r>
          </w:p>
        </w:tc>
        <w:tc>
          <w:tcPr>
            <w:tcW w:w="1080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0.644</w:t>
            </w:r>
          </w:p>
        </w:tc>
        <w:tc>
          <w:tcPr>
            <w:tcW w:w="1042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20.851</w:t>
            </w:r>
          </w:p>
        </w:tc>
        <w:tc>
          <w:tcPr>
            <w:tcW w:w="1042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21.220</w:t>
            </w:r>
          </w:p>
        </w:tc>
        <w:tc>
          <w:tcPr>
            <w:tcW w:w="1007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</w:p>
        </w:tc>
        <w:tc>
          <w:tcPr>
            <w:tcW w:w="1025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</w:p>
        </w:tc>
      </w:tr>
      <w:tr w:rsidR="00EE66C1" w:rsidTr="00EE66C1">
        <w:tc>
          <w:tcPr>
            <w:tcW w:w="1147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R1B1</m:t>
                    </m:r>
                  </m:sub>
                </m:sSub>
              </m:oMath>
            </m:oMathPara>
          </w:p>
        </w:tc>
        <w:tc>
          <w:tcPr>
            <w:tcW w:w="1147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R1B2</m:t>
                    </m:r>
                  </m:sub>
                </m:sSub>
              </m:oMath>
            </m:oMathPara>
          </w:p>
        </w:tc>
        <w:tc>
          <w:tcPr>
            <w:tcW w:w="1140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R2B1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R2B2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007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025" w:type="dxa"/>
          </w:tcPr>
          <w:p w:rsidR="00EE66C1" w:rsidRPr="001A2790" w:rsidRDefault="002B55E0" w:rsidP="00EE66C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B2</m:t>
                    </m:r>
                  </m:sub>
                </m:sSub>
              </m:oMath>
            </m:oMathPara>
          </w:p>
        </w:tc>
      </w:tr>
      <w:tr w:rsidR="002B55E0" w:rsidRPr="002B55E0" w:rsidTr="00EE66C1">
        <w:tc>
          <w:tcPr>
            <w:tcW w:w="1147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1.362</w:t>
            </w:r>
          </w:p>
        </w:tc>
        <w:tc>
          <w:tcPr>
            <w:tcW w:w="1147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0.436</w:t>
            </w:r>
          </w:p>
        </w:tc>
        <w:tc>
          <w:tcPr>
            <w:tcW w:w="1140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0.339</w:t>
            </w:r>
          </w:p>
        </w:tc>
        <w:tc>
          <w:tcPr>
            <w:tcW w:w="1080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1.187</w:t>
            </w:r>
          </w:p>
        </w:tc>
        <w:tc>
          <w:tcPr>
            <w:tcW w:w="1042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24.575</w:t>
            </w:r>
          </w:p>
        </w:tc>
        <w:tc>
          <w:tcPr>
            <w:tcW w:w="1042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24.594</w:t>
            </w:r>
          </w:p>
        </w:tc>
        <w:tc>
          <w:tcPr>
            <w:tcW w:w="1007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1.7</w:t>
            </w:r>
          </w:p>
        </w:tc>
        <w:tc>
          <w:tcPr>
            <w:tcW w:w="1025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1.624</w:t>
            </w:r>
          </w:p>
        </w:tc>
      </w:tr>
      <w:tr w:rsidR="00EE66C1" w:rsidTr="00EE66C1">
        <w:tc>
          <w:tcPr>
            <w:tcW w:w="1147" w:type="dxa"/>
          </w:tcPr>
          <w:p w:rsidR="00EE66C1" w:rsidRPr="001A2790" w:rsidRDefault="00EE66C1" w:rsidP="00EE66C1">
            <w:r>
              <w:t>Profit(M1)</w:t>
            </w:r>
          </w:p>
        </w:tc>
        <w:tc>
          <w:tcPr>
            <w:tcW w:w="1147" w:type="dxa"/>
          </w:tcPr>
          <w:p w:rsidR="00EE66C1" w:rsidRPr="001A2790" w:rsidRDefault="00EE66C1" w:rsidP="00EE66C1">
            <w:r>
              <w:t>Profit(M2)</w:t>
            </w:r>
          </w:p>
        </w:tc>
        <w:tc>
          <w:tcPr>
            <w:tcW w:w="1140" w:type="dxa"/>
          </w:tcPr>
          <w:p w:rsidR="00EE66C1" w:rsidRPr="001A2790" w:rsidRDefault="00EE66C1" w:rsidP="00EE66C1">
            <w:r>
              <w:t>Profit(R1)</w:t>
            </w:r>
          </w:p>
        </w:tc>
        <w:tc>
          <w:tcPr>
            <w:tcW w:w="1080" w:type="dxa"/>
          </w:tcPr>
          <w:p w:rsidR="00EE66C1" w:rsidRPr="001A2790" w:rsidRDefault="00EE66C1" w:rsidP="00EE66C1">
            <w:r>
              <w:t>Profit(R2)</w:t>
            </w:r>
          </w:p>
        </w:tc>
        <w:tc>
          <w:tcPr>
            <w:tcW w:w="1042" w:type="dxa"/>
          </w:tcPr>
          <w:p w:rsidR="00EE66C1" w:rsidRPr="001A2790" w:rsidRDefault="00EE66C1" w:rsidP="00EE66C1">
            <w:r>
              <w:t>CS(B1)</w:t>
            </w:r>
          </w:p>
        </w:tc>
        <w:tc>
          <w:tcPr>
            <w:tcW w:w="1042" w:type="dxa"/>
          </w:tcPr>
          <w:p w:rsidR="00EE66C1" w:rsidRPr="001A2790" w:rsidRDefault="00EE66C1" w:rsidP="00EE66C1">
            <w:r>
              <w:t>CS(B2)</w:t>
            </w:r>
          </w:p>
        </w:tc>
        <w:tc>
          <w:tcPr>
            <w:tcW w:w="1007" w:type="dxa"/>
          </w:tcPr>
          <w:p w:rsidR="00EE66C1" w:rsidRPr="001A2790" w:rsidRDefault="00EE66C1" w:rsidP="00EE66C1"/>
        </w:tc>
        <w:tc>
          <w:tcPr>
            <w:tcW w:w="1025" w:type="dxa"/>
          </w:tcPr>
          <w:p w:rsidR="00EE66C1" w:rsidRPr="001A2790" w:rsidRDefault="00EE66C1" w:rsidP="00EE66C1"/>
        </w:tc>
      </w:tr>
      <w:tr w:rsidR="00EE66C1" w:rsidTr="00EE66C1">
        <w:tc>
          <w:tcPr>
            <w:tcW w:w="1147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8.831</w:t>
            </w:r>
          </w:p>
        </w:tc>
        <w:tc>
          <w:tcPr>
            <w:tcW w:w="1147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5.128</w:t>
            </w:r>
          </w:p>
        </w:tc>
        <w:tc>
          <w:tcPr>
            <w:tcW w:w="1140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6.477</w:t>
            </w:r>
          </w:p>
        </w:tc>
        <w:tc>
          <w:tcPr>
            <w:tcW w:w="1080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4.671</w:t>
            </w:r>
          </w:p>
        </w:tc>
        <w:tc>
          <w:tcPr>
            <w:tcW w:w="1042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1.447</w:t>
            </w:r>
          </w:p>
        </w:tc>
        <w:tc>
          <w:tcPr>
            <w:tcW w:w="1042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  <w:r w:rsidRPr="002B55E0">
              <w:rPr>
                <w:color w:val="A6A6A6" w:themeColor="background1" w:themeShade="A6"/>
              </w:rPr>
              <w:t>1.318</w:t>
            </w:r>
          </w:p>
        </w:tc>
        <w:tc>
          <w:tcPr>
            <w:tcW w:w="1007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</w:p>
        </w:tc>
        <w:tc>
          <w:tcPr>
            <w:tcW w:w="1025" w:type="dxa"/>
          </w:tcPr>
          <w:p w:rsidR="00EE66C1" w:rsidRPr="002B55E0" w:rsidRDefault="00EE66C1" w:rsidP="00EE66C1">
            <w:pPr>
              <w:rPr>
                <w:color w:val="A6A6A6" w:themeColor="background1" w:themeShade="A6"/>
              </w:rPr>
            </w:pPr>
          </w:p>
        </w:tc>
      </w:tr>
    </w:tbl>
    <w:p w:rsidR="00EE66C1" w:rsidRPr="00B1225A" w:rsidRDefault="00EE66C1" w:rsidP="00EE66C1">
      <w:pPr>
        <w:pStyle w:val="ListParagraph"/>
        <w:rPr>
          <w:lang w:val="en-US"/>
        </w:rPr>
      </w:pPr>
    </w:p>
    <w:p w:rsidR="00B1225A" w:rsidRDefault="00B1225A" w:rsidP="00B1225A">
      <w:pPr>
        <w:pStyle w:val="ListParagraph"/>
        <w:rPr>
          <w:lang w:val="en-US"/>
        </w:rPr>
      </w:pPr>
    </w:p>
    <w:p w:rsidR="00EE66C1" w:rsidRPr="00B1225A" w:rsidRDefault="00EE66C1" w:rsidP="00EE66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why Country 1 loses from Country 2’s exit from the economic union.</w:t>
      </w:r>
    </w:p>
    <w:sectPr w:rsidR="00EE66C1" w:rsidRPr="00B12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5476"/>
    <w:multiLevelType w:val="hybridMultilevel"/>
    <w:tmpl w:val="F3F0E054"/>
    <w:lvl w:ilvl="0" w:tplc="9F90C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83FE3"/>
    <w:multiLevelType w:val="hybridMultilevel"/>
    <w:tmpl w:val="A9F8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71CD3"/>
    <w:multiLevelType w:val="hybridMultilevel"/>
    <w:tmpl w:val="A6D0E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9A"/>
    <w:rsid w:val="00031165"/>
    <w:rsid w:val="00057E50"/>
    <w:rsid w:val="000C764D"/>
    <w:rsid w:val="000D39A6"/>
    <w:rsid w:val="00135052"/>
    <w:rsid w:val="0014475C"/>
    <w:rsid w:val="001A2790"/>
    <w:rsid w:val="002B55E0"/>
    <w:rsid w:val="0036365B"/>
    <w:rsid w:val="003756DF"/>
    <w:rsid w:val="00400640"/>
    <w:rsid w:val="00400A9A"/>
    <w:rsid w:val="00426B84"/>
    <w:rsid w:val="004C3458"/>
    <w:rsid w:val="004E2487"/>
    <w:rsid w:val="0051396E"/>
    <w:rsid w:val="005D5B12"/>
    <w:rsid w:val="006A5099"/>
    <w:rsid w:val="006F3244"/>
    <w:rsid w:val="006F39FF"/>
    <w:rsid w:val="00806B7C"/>
    <w:rsid w:val="00850279"/>
    <w:rsid w:val="00947D05"/>
    <w:rsid w:val="009A74CC"/>
    <w:rsid w:val="009F6195"/>
    <w:rsid w:val="00AD60AD"/>
    <w:rsid w:val="00B03512"/>
    <w:rsid w:val="00B1225A"/>
    <w:rsid w:val="00D54CA8"/>
    <w:rsid w:val="00D93450"/>
    <w:rsid w:val="00E67AB3"/>
    <w:rsid w:val="00E91EA7"/>
    <w:rsid w:val="00EE66C1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D0F4"/>
  <w15:chartTrackingRefBased/>
  <w15:docId w15:val="{365881C4-01C4-4EBD-BCAB-11D298BC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99"/>
    <w:pPr>
      <w:ind w:left="720"/>
      <w:contextualSpacing/>
    </w:pPr>
    <w:rPr>
      <w:lang w:val="nl-BE"/>
    </w:rPr>
  </w:style>
  <w:style w:type="character" w:styleId="PlaceholderText">
    <w:name w:val="Placeholder Text"/>
    <w:basedOn w:val="DefaultParagraphFont"/>
    <w:uiPriority w:val="99"/>
    <w:semiHidden/>
    <w:rsid w:val="00947D05"/>
    <w:rPr>
      <w:color w:val="808080"/>
    </w:rPr>
  </w:style>
  <w:style w:type="table" w:styleId="TableGrid">
    <w:name w:val="Table Grid"/>
    <w:basedOn w:val="TableNormal"/>
    <w:uiPriority w:val="39"/>
    <w:rsid w:val="001A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Man Fung</dc:creator>
  <cp:keywords/>
  <dc:description/>
  <cp:lastModifiedBy>Chau Man Fung</cp:lastModifiedBy>
  <cp:revision>10</cp:revision>
  <dcterms:created xsi:type="dcterms:W3CDTF">2019-04-23T14:56:00Z</dcterms:created>
  <dcterms:modified xsi:type="dcterms:W3CDTF">2019-04-24T16:15:00Z</dcterms:modified>
</cp:coreProperties>
</file>