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0AD" w:rsidRPr="00557D4E" w:rsidRDefault="00AD60AD">
      <w:pPr>
        <w:rPr>
          <w:color w:val="A6A6A6" w:themeColor="background1" w:themeShade="A6"/>
        </w:rPr>
      </w:pPr>
      <w:r w:rsidRPr="00557D4E">
        <w:rPr>
          <w:color w:val="A6A6A6" w:themeColor="background1" w:themeShade="A6"/>
        </w:rPr>
        <w:t>[</w:t>
      </w:r>
      <w:r w:rsidR="006B1FB5" w:rsidRPr="00557D4E">
        <w:rPr>
          <w:color w:val="A6A6A6" w:themeColor="background1" w:themeShade="A6"/>
        </w:rPr>
        <w:t>Expiration of patent</w:t>
      </w:r>
      <w:r w:rsidR="008A323F" w:rsidRPr="00557D4E">
        <w:rPr>
          <w:color w:val="A6A6A6" w:themeColor="background1" w:themeShade="A6"/>
        </w:rPr>
        <w:t>: def_class121, def_class121b</w:t>
      </w:r>
      <w:r w:rsidRPr="00557D4E">
        <w:rPr>
          <w:color w:val="A6A6A6" w:themeColor="background1" w:themeShade="A6"/>
        </w:rPr>
        <w:t>]</w:t>
      </w:r>
    </w:p>
    <w:p w:rsidR="008A323F" w:rsidRDefault="00400A9A" w:rsidP="008A323F">
      <w:r>
        <w:t xml:space="preserve">A supply chain consists of </w:t>
      </w:r>
      <w:r w:rsidR="006B1FB5">
        <w:t>one</w:t>
      </w:r>
      <w:r>
        <w:t xml:space="preserve"> </w:t>
      </w:r>
      <w:r w:rsidR="006B1FB5">
        <w:t xml:space="preserve">drug </w:t>
      </w:r>
      <w:r w:rsidR="000B17EC">
        <w:t>manufacturer M1, two</w:t>
      </w:r>
      <w:r>
        <w:t xml:space="preserve"> retai</w:t>
      </w:r>
      <w:r w:rsidR="00FD7D72">
        <w:t xml:space="preserve">lers R1 and R2 and </w:t>
      </w:r>
      <w:r w:rsidR="00C57341">
        <w:t>one market B1</w:t>
      </w:r>
      <w:r w:rsidR="00FD7D72">
        <w:t xml:space="preserve">. </w:t>
      </w:r>
      <w:r w:rsidR="006B1FB5">
        <w:t xml:space="preserve">M1 currently owns the patent of </w:t>
      </w:r>
      <w:r w:rsidR="00B5518C">
        <w:t>a</w:t>
      </w:r>
      <w:r w:rsidR="006B1FB5">
        <w:t xml:space="preserve"> drug</w:t>
      </w:r>
      <w:r w:rsidR="00C57341">
        <w:t xml:space="preserve">. </w:t>
      </w:r>
    </w:p>
    <w:p w:rsidR="006A5099" w:rsidRPr="008A323F" w:rsidRDefault="0036365B" w:rsidP="008A323F">
      <w:pPr>
        <w:pStyle w:val="ListParagraph"/>
        <w:numPr>
          <w:ilvl w:val="0"/>
          <w:numId w:val="4"/>
        </w:numPr>
        <w:rPr>
          <w:lang w:val="en-US"/>
        </w:rPr>
      </w:pPr>
      <w:r w:rsidRPr="008A323F">
        <w:rPr>
          <w:lang w:val="en-US"/>
        </w:rPr>
        <w:t xml:space="preserve">The </w:t>
      </w:r>
      <w:r w:rsidR="008A323F" w:rsidRPr="008A323F">
        <w:rPr>
          <w:lang w:val="en-US"/>
        </w:rPr>
        <w:t xml:space="preserve">drug </w:t>
      </w:r>
      <w:r w:rsidRPr="008A323F">
        <w:rPr>
          <w:lang w:val="en-US"/>
        </w:rPr>
        <w:t>m</w:t>
      </w:r>
      <w:r w:rsidR="006A5099" w:rsidRPr="008A323F">
        <w:rPr>
          <w:lang w:val="en-US"/>
        </w:rPr>
        <w:t>anufacturer face</w:t>
      </w:r>
      <w:r w:rsidR="008A323F" w:rsidRPr="008A323F">
        <w:rPr>
          <w:lang w:val="en-US"/>
        </w:rPr>
        <w:t>s the</w:t>
      </w:r>
      <w:r w:rsidR="006A5099" w:rsidRPr="008A323F">
        <w:rPr>
          <w:lang w:val="en-US"/>
        </w:rPr>
        <w:t xml:space="preserve"> production cost:</w:t>
      </w:r>
    </w:p>
    <w:p w:rsidR="006A5099" w:rsidRPr="0036365B" w:rsidRDefault="00557D4E" w:rsidP="006A5099">
      <w:pPr>
        <w:pStyle w:val="ListParagraph"/>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M1</m:t>
              </m:r>
            </m:sub>
          </m:sSub>
          <m:r>
            <w:rPr>
              <w:rFonts w:ascii="Cambria Math" w:hAnsi="Cambria Math"/>
              <w:lang w:val="en-US"/>
            </w:rPr>
            <m:t>=2+2</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M1</m:t>
              </m:r>
            </m:sub>
            <m:sup>
              <m:r>
                <w:rPr>
                  <w:rFonts w:ascii="Cambria Math" w:hAnsi="Cambria Math"/>
                  <w:lang w:val="en-US"/>
                </w:rPr>
                <m:t>2</m:t>
              </m:r>
            </m:sup>
          </m:sSubSup>
          <m:r>
            <w:rPr>
              <w:rFonts w:ascii="Cambria Math" w:hAnsi="Cambria Math"/>
              <w:lang w:val="en-US"/>
            </w:rPr>
            <m:t>+5</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M1</m:t>
              </m:r>
            </m:sub>
            <m:sup/>
          </m:sSubSup>
        </m:oMath>
      </m:oMathPara>
    </w:p>
    <w:p w:rsidR="0036365B" w:rsidRPr="009A74CC" w:rsidRDefault="0036365B" w:rsidP="006A5099">
      <w:pPr>
        <w:pStyle w:val="ListParagraph"/>
        <w:rPr>
          <w:rFonts w:eastAsiaTheme="minorEastAsia"/>
          <w:lang w:val="en-US"/>
        </w:rPr>
      </w:pPr>
    </w:p>
    <w:p w:rsidR="009A74CC" w:rsidRDefault="008A323F" w:rsidP="009A74CC">
      <w:pPr>
        <w:pStyle w:val="ListParagraph"/>
        <w:numPr>
          <w:ilvl w:val="0"/>
          <w:numId w:val="2"/>
        </w:numPr>
        <w:rPr>
          <w:rFonts w:eastAsiaTheme="minorEastAsia"/>
          <w:lang w:val="en-US"/>
        </w:rPr>
      </w:pPr>
      <w:r>
        <w:rPr>
          <w:rFonts w:eastAsiaTheme="minorEastAsia"/>
          <w:lang w:val="en-US"/>
        </w:rPr>
        <w:t>and</w:t>
      </w:r>
      <w:r w:rsidR="009A74CC">
        <w:rPr>
          <w:rFonts w:eastAsiaTheme="minorEastAsia"/>
          <w:lang w:val="en-US"/>
        </w:rPr>
        <w:t xml:space="preserve"> the (per-unit) transaction costs:</w:t>
      </w:r>
    </w:p>
    <w:p w:rsidR="009A74CC" w:rsidRPr="009A74CC" w:rsidRDefault="00557D4E" w:rsidP="009A74C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M1R1</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M1R1</m:t>
              </m:r>
            </m:sub>
          </m:sSub>
        </m:oMath>
      </m:oMathPara>
    </w:p>
    <w:p w:rsidR="009A74CC" w:rsidRPr="009A74CC" w:rsidRDefault="00557D4E" w:rsidP="009A74C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M1R2</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M1R2</m:t>
              </m:r>
            </m:sub>
          </m:sSub>
        </m:oMath>
      </m:oMathPara>
    </w:p>
    <w:p w:rsidR="006A5099" w:rsidRPr="005E2FCD" w:rsidRDefault="00806B7C" w:rsidP="006A5099">
      <w:pPr>
        <w:pStyle w:val="ListParagraph"/>
        <w:numPr>
          <w:ilvl w:val="0"/>
          <w:numId w:val="1"/>
        </w:numPr>
        <w:rPr>
          <w:lang w:val="en-US"/>
        </w:rPr>
      </w:pPr>
      <w:r>
        <w:rPr>
          <w:lang w:val="en-US"/>
        </w:rPr>
        <w:t xml:space="preserve">For each unit of product </w:t>
      </w:r>
      <w:r w:rsidR="008A323F">
        <w:rPr>
          <w:lang w:val="en-US"/>
        </w:rPr>
        <w:t>purchased from the manufacturer</w:t>
      </w:r>
      <w:r>
        <w:rPr>
          <w:lang w:val="en-US"/>
        </w:rPr>
        <w:t>, t</w:t>
      </w:r>
      <w:r w:rsidR="006A5099" w:rsidRPr="005E2FCD">
        <w:rPr>
          <w:lang w:val="en-US"/>
        </w:rPr>
        <w:t xml:space="preserve">he </w:t>
      </w:r>
      <w:r w:rsidR="006A5099">
        <w:rPr>
          <w:lang w:val="en-US"/>
        </w:rPr>
        <w:t xml:space="preserve">retailers </w:t>
      </w:r>
      <w:r>
        <w:rPr>
          <w:lang w:val="en-US"/>
        </w:rPr>
        <w:t>face handling costs of</w:t>
      </w:r>
      <w:r w:rsidR="006A5099">
        <w:rPr>
          <w:lang w:val="en-US"/>
        </w:rPr>
        <w:br/>
      </w: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R1</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M1R1</m:t>
              </m:r>
            </m:sub>
          </m:sSub>
          <m:r>
            <w:rPr>
              <w:rFonts w:ascii="Cambria Math" w:hAnsi="Cambria Math"/>
              <w:lang w:val="en-US"/>
            </w:rPr>
            <m:t>)</m:t>
          </m:r>
        </m:oMath>
      </m:oMathPara>
    </w:p>
    <w:p w:rsidR="004E2487" w:rsidRPr="004E2487" w:rsidRDefault="00557D4E" w:rsidP="000C764D">
      <w:pPr>
        <w:pStyle w:val="ListParagraph"/>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R2</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M1R2</m:t>
              </m:r>
            </m:sub>
          </m:sSub>
          <m:r>
            <m:rPr>
              <m:sty m:val="p"/>
            </m:rPr>
            <w:rPr>
              <w:rFonts w:ascii="Cambria Math"/>
              <w:lang w:val="en-US"/>
            </w:rPr>
            <m:t>)</m:t>
          </m:r>
        </m:oMath>
      </m:oMathPara>
    </w:p>
    <w:p w:rsidR="006A5099" w:rsidRPr="00426B84" w:rsidRDefault="004E2487" w:rsidP="004E2487">
      <w:pPr>
        <w:pStyle w:val="ListParagraph"/>
        <w:numPr>
          <w:ilvl w:val="0"/>
          <w:numId w:val="1"/>
        </w:numPr>
        <w:rPr>
          <w:rFonts w:eastAsiaTheme="minorEastAsia"/>
          <w:lang w:val="en-US"/>
        </w:rPr>
      </w:pPr>
      <w:r>
        <w:rPr>
          <w:lang w:val="en-US"/>
        </w:rPr>
        <w:t xml:space="preserve">Transaction costs </w:t>
      </w:r>
      <w:r w:rsidR="00426B84">
        <w:rPr>
          <w:lang w:val="en-US"/>
        </w:rPr>
        <w:t xml:space="preserve">(per unit) </w:t>
      </w:r>
      <w:r>
        <w:rPr>
          <w:lang w:val="en-US"/>
        </w:rPr>
        <w:t xml:space="preserve">are incurred between the retailers and </w:t>
      </w:r>
      <w:r w:rsidR="00C57341">
        <w:rPr>
          <w:lang w:val="en-US"/>
        </w:rPr>
        <w:t>the market:</w:t>
      </w:r>
      <w:r w:rsidR="006A5099">
        <w:rPr>
          <w:lang w:val="en-US"/>
        </w:rPr>
        <w:br/>
      </w: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R1B1</m:t>
              </m:r>
            </m:sub>
          </m:sSub>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R1B1</m:t>
              </m:r>
            </m:sub>
            <m:sup/>
          </m:sSubSup>
          <m:r>
            <w:rPr>
              <w:rFonts w:ascii="Cambria Math" w:hAnsi="Cambria Math"/>
              <w:lang w:val="en-US"/>
            </w:rPr>
            <m:t>+1</m:t>
          </m:r>
        </m:oMath>
      </m:oMathPara>
    </w:p>
    <w:p w:rsidR="00426B84" w:rsidRPr="00426B84" w:rsidRDefault="00557D4E" w:rsidP="00426B84">
      <w:pPr>
        <w:ind w:left="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R2B1</m:t>
              </m:r>
            </m:sub>
          </m:sSub>
          <m:r>
            <w:rPr>
              <w:rFonts w:ascii="Cambria Math" w:hAnsi="Cambria Math"/>
            </w:rPr>
            <m:t>=2</m:t>
          </m:r>
          <m:sSubSup>
            <m:sSubSupPr>
              <m:ctrlPr>
                <w:rPr>
                  <w:rFonts w:ascii="Cambria Math" w:hAnsi="Cambria Math"/>
                  <w:i/>
                </w:rPr>
              </m:ctrlPr>
            </m:sSubSupPr>
            <m:e>
              <m:r>
                <w:rPr>
                  <w:rFonts w:ascii="Cambria Math" w:hAnsi="Cambria Math"/>
                </w:rPr>
                <m:t>q</m:t>
              </m:r>
            </m:e>
            <m:sub>
              <m:r>
                <w:rPr>
                  <w:rFonts w:ascii="Cambria Math" w:hAnsi="Cambria Math"/>
                </w:rPr>
                <m:t>R2B1</m:t>
              </m:r>
            </m:sub>
            <m:sup/>
          </m:sSubSup>
          <m:r>
            <w:rPr>
              <w:rFonts w:ascii="Cambria Math" w:hAnsi="Cambria Math"/>
            </w:rPr>
            <m:t>+1</m:t>
          </m:r>
        </m:oMath>
      </m:oMathPara>
    </w:p>
    <w:p w:rsidR="00947D05" w:rsidRPr="00D93450" w:rsidRDefault="006A5099" w:rsidP="00D93450">
      <w:pPr>
        <w:ind w:left="720"/>
        <w:rPr>
          <w:rFonts w:eastAsiaTheme="minorEastAsia"/>
        </w:rPr>
      </w:pPr>
      <w:r w:rsidRPr="00D93450">
        <w:t xml:space="preserve">The total cost </w:t>
      </w:r>
      <m:oMath>
        <m:sSub>
          <m:sSubPr>
            <m:ctrlPr>
              <w:rPr>
                <w:rFonts w:ascii="Cambria Math" w:hAnsi="Cambria Math"/>
                <w:i/>
              </w:rPr>
            </m:ctrlPr>
          </m:sSubPr>
          <m:e>
            <m:r>
              <w:rPr>
                <w:rFonts w:ascii="Cambria Math" w:hAnsi="Cambria Math"/>
              </w:rPr>
              <m:t>ρ</m:t>
            </m:r>
          </m:e>
          <m:sub>
            <m:r>
              <w:rPr>
                <w:rFonts w:ascii="Cambria Math" w:hAnsi="Cambria Math"/>
              </w:rPr>
              <m:t>B1</m:t>
            </m:r>
          </m:sub>
        </m:sSub>
      </m:oMath>
      <w:r w:rsidRPr="00D93450">
        <w:rPr>
          <w:rFonts w:eastAsiaTheme="minorEastAsia"/>
        </w:rPr>
        <w:t xml:space="preserve"> </w:t>
      </w:r>
      <w:r w:rsidRPr="00D93450">
        <w:t>perceived by the c</w:t>
      </w:r>
      <w:r w:rsidR="008A323F">
        <w:t>onsu</w:t>
      </w:r>
      <w:r w:rsidRPr="00D93450">
        <w:t xml:space="preserve">mers </w:t>
      </w:r>
      <w:r w:rsidR="00947D05" w:rsidRPr="00D93450">
        <w:t xml:space="preserve">in market </w:t>
      </w:r>
      <m:oMath>
        <m:r>
          <w:rPr>
            <w:rFonts w:ascii="Cambria Math" w:hAnsi="Cambria Math"/>
          </w:rPr>
          <m:t xml:space="preserve">1 </m:t>
        </m:r>
      </m:oMath>
      <w:r w:rsidRPr="00D93450">
        <w:t xml:space="preserve">consists of the retail price </w:t>
      </w:r>
      <m:oMath>
        <m:sSub>
          <m:sSubPr>
            <m:ctrlPr>
              <w:rPr>
                <w:rFonts w:ascii="Cambria Math" w:hAnsi="Cambria Math"/>
                <w:i/>
              </w:rPr>
            </m:ctrlPr>
          </m:sSubPr>
          <m:e>
            <m:r>
              <w:rPr>
                <w:rFonts w:ascii="Cambria Math" w:hAnsi="Cambria Math"/>
              </w:rPr>
              <m:t>ρ</m:t>
            </m:r>
          </m:e>
          <m:sub>
            <m:r>
              <w:rPr>
                <w:rFonts w:ascii="Cambria Math" w:hAnsi="Cambria Math"/>
              </w:rPr>
              <m:t>Rj</m:t>
            </m:r>
          </m:sub>
        </m:sSub>
      </m:oMath>
      <w:r w:rsidR="00D93450" w:rsidRPr="00D93450">
        <w:rPr>
          <w:rFonts w:eastAsiaTheme="minorEastAsia"/>
        </w:rPr>
        <w:t xml:space="preserve"> </w:t>
      </w:r>
      <w:r w:rsidR="00557D4E">
        <w:rPr>
          <w:rFonts w:eastAsiaTheme="minorEastAsia"/>
        </w:rPr>
        <w:t xml:space="preserve">and  the </w:t>
      </w:r>
      <w:r w:rsidR="00D93450" w:rsidRPr="00D93450">
        <w:rPr>
          <w:rFonts w:eastAsiaTheme="minorEastAsia"/>
        </w:rPr>
        <w:t>transaction cost</w:t>
      </w:r>
      <w:r w:rsidRPr="00D93450">
        <w:rPr>
          <w:rFonts w:eastAsiaTheme="minorEastAsia"/>
        </w:rPr>
        <w:t xml:space="preserve"> for going to the retailer </w:t>
      </w:r>
      <m:oMath>
        <m:r>
          <w:rPr>
            <w:rFonts w:ascii="Cambria Math" w:hAnsi="Cambria Math"/>
          </w:rPr>
          <m:t xml:space="preserve">j </m:t>
        </m:r>
      </m:oMath>
      <w:r w:rsidRPr="00D93450">
        <w:rPr>
          <w:rFonts w:eastAsiaTheme="minorEastAsia"/>
        </w:rPr>
        <w:t xml:space="preserve">and getting the </w:t>
      </w:r>
      <w:r w:rsidR="00B5518C">
        <w:rPr>
          <w:rFonts w:eastAsiaTheme="minorEastAsia"/>
        </w:rPr>
        <w:t>drug</w:t>
      </w:r>
      <w:r w:rsidRPr="00D93450">
        <w:rPr>
          <w:rFonts w:eastAsiaTheme="minorEastAsia"/>
        </w:rPr>
        <w:t xml:space="preserve"> there</w:t>
      </w:r>
      <w:r w:rsidR="00D93450" w:rsidRPr="00D93450">
        <w:rPr>
          <w:rFonts w:eastAsiaTheme="minorEastAsia"/>
        </w:rPr>
        <w:t>.</w:t>
      </w:r>
      <w:r w:rsidRPr="00D93450">
        <w:rPr>
          <w:rFonts w:eastAsiaTheme="minorEastAsia"/>
        </w:rPr>
        <w:t xml:space="preserve"> </w:t>
      </w:r>
    </w:p>
    <w:p w:rsidR="006A5099" w:rsidRPr="00D54CA8" w:rsidRDefault="0051396E" w:rsidP="0081477F">
      <w:pPr>
        <w:pStyle w:val="ListParagraph"/>
        <w:numPr>
          <w:ilvl w:val="0"/>
          <w:numId w:val="1"/>
        </w:numPr>
        <w:rPr>
          <w:lang w:val="en-US"/>
        </w:rPr>
      </w:pPr>
      <w:r w:rsidRPr="00D54CA8">
        <w:rPr>
          <w:rFonts w:eastAsiaTheme="minorEastAsia"/>
          <w:lang w:val="en-US"/>
        </w:rPr>
        <w:t xml:space="preserve">To the </w:t>
      </w:r>
      <w:r w:rsidR="008A323F">
        <w:rPr>
          <w:rFonts w:eastAsiaTheme="minorEastAsia"/>
          <w:lang w:val="en-US"/>
        </w:rPr>
        <w:t>consu</w:t>
      </w:r>
      <w:r w:rsidRPr="00D54CA8">
        <w:rPr>
          <w:rFonts w:eastAsiaTheme="minorEastAsia"/>
          <w:lang w:val="en-US"/>
        </w:rPr>
        <w:t xml:space="preserve">mers, they see the </w:t>
      </w:r>
      <w:r w:rsidR="00B5518C">
        <w:rPr>
          <w:rFonts w:eastAsiaTheme="minorEastAsia"/>
          <w:lang w:val="en-US"/>
        </w:rPr>
        <w:t>drugs</w:t>
      </w:r>
      <w:r w:rsidRPr="00D54CA8">
        <w:rPr>
          <w:rFonts w:eastAsiaTheme="minorEastAsia"/>
          <w:lang w:val="en-US"/>
        </w:rPr>
        <w:t xml:space="preserve"> from retailer 1 and the products from retailer 2 a</w:t>
      </w:r>
      <w:r w:rsidR="009F6195" w:rsidRPr="00D54CA8">
        <w:rPr>
          <w:rFonts w:eastAsiaTheme="minorEastAsia"/>
          <w:lang w:val="en-US"/>
        </w:rPr>
        <w:t>s</w:t>
      </w:r>
      <w:r w:rsidRPr="00D54CA8">
        <w:rPr>
          <w:rFonts w:eastAsiaTheme="minorEastAsia"/>
          <w:lang w:val="en-US"/>
        </w:rPr>
        <w:t xml:space="preserve"> identical. </w:t>
      </w:r>
      <w:r w:rsidR="00D54CA8" w:rsidRPr="00D54CA8">
        <w:rPr>
          <w:rFonts w:eastAsiaTheme="minorEastAsia"/>
          <w:lang w:val="en-US"/>
        </w:rPr>
        <w:t>So the</w:t>
      </w:r>
      <w:r w:rsidR="008A323F">
        <w:rPr>
          <w:rFonts w:eastAsiaTheme="minorEastAsia"/>
          <w:lang w:val="en-US"/>
        </w:rPr>
        <w:t>ir</w:t>
      </w:r>
      <w:r w:rsidR="00D54CA8" w:rsidRPr="00D54CA8">
        <w:rPr>
          <w:rFonts w:eastAsiaTheme="minorEastAsia"/>
          <w:lang w:val="en-US"/>
        </w:rPr>
        <w:t xml:space="preserve"> maximum willingness to pay </w:t>
      </w:r>
      <w:r w:rsidR="008A323F">
        <w:rPr>
          <w:rFonts w:eastAsiaTheme="minorEastAsia"/>
          <w:lang w:val="en-US"/>
        </w:rPr>
        <w:t>is:</w:t>
      </w:r>
      <w:r w:rsidR="006A5099" w:rsidRPr="00D54CA8">
        <w:rPr>
          <w:rFonts w:eastAsiaTheme="minorEastAsia"/>
          <w:lang w:val="en-US"/>
        </w:rPr>
        <w:br/>
      </w:r>
      <m:oMathPara>
        <m:oMath>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B1</m:t>
                  </m:r>
                </m:sub>
              </m:sSub>
              <m:r>
                <w:rPr>
                  <w:rFonts w:ascii="Cambria Math" w:eastAsiaTheme="minorEastAsia" w:hAnsi="Cambria Math"/>
                  <w:lang w:val="en-US"/>
                </w:rPr>
                <m:t>=100-d</m:t>
              </m:r>
            </m:e>
            <m:sub>
              <m:r>
                <w:rPr>
                  <w:rFonts w:ascii="Cambria Math" w:eastAsiaTheme="minorEastAsia" w:hAnsi="Cambria Math"/>
                  <w:lang w:val="en-US"/>
                </w:rPr>
                <m:t>B1</m:t>
              </m:r>
            </m:sub>
          </m:sSub>
        </m:oMath>
      </m:oMathPara>
    </w:p>
    <w:p w:rsidR="00FD7D72" w:rsidRDefault="00FD7D72">
      <w:pPr>
        <w:rPr>
          <w:rFonts w:eastAsiaTheme="minorEastAsia"/>
        </w:rPr>
      </w:pPr>
      <w:r>
        <w:rPr>
          <w:rFonts w:eastAsiaTheme="minorEastAsia"/>
        </w:rPr>
        <w:t>Questions</w:t>
      </w:r>
    </w:p>
    <w:p w:rsidR="00FD7D72" w:rsidRDefault="00FD7D72" w:rsidP="00B5518C">
      <w:pPr>
        <w:pStyle w:val="ListParagraph"/>
        <w:rPr>
          <w:lang w:val="en-US"/>
        </w:rPr>
      </w:pPr>
    </w:p>
    <w:p w:rsidR="001A2790" w:rsidRDefault="001A2790" w:rsidP="00FD7D72">
      <w:pPr>
        <w:pStyle w:val="ListParagraph"/>
        <w:numPr>
          <w:ilvl w:val="0"/>
          <w:numId w:val="3"/>
        </w:numPr>
        <w:rPr>
          <w:lang w:val="en-US"/>
        </w:rPr>
      </w:pPr>
      <w:r>
        <w:rPr>
          <w:lang w:val="en-US"/>
        </w:rPr>
        <w:t>Write down the problem as a VI and solve it. Fill in the following table:</w:t>
      </w:r>
    </w:p>
    <w:tbl>
      <w:tblPr>
        <w:tblStyle w:val="TableGrid"/>
        <w:tblW w:w="0" w:type="auto"/>
        <w:tblInd w:w="720" w:type="dxa"/>
        <w:tblLook w:val="04A0" w:firstRow="1" w:lastRow="0" w:firstColumn="1" w:lastColumn="0" w:noHBand="0" w:noVBand="1"/>
      </w:tblPr>
      <w:tblGrid>
        <w:gridCol w:w="1147"/>
        <w:gridCol w:w="1059"/>
        <w:gridCol w:w="1144"/>
        <w:gridCol w:w="1080"/>
        <w:gridCol w:w="1059"/>
        <w:gridCol w:w="1059"/>
        <w:gridCol w:w="1053"/>
      </w:tblGrid>
      <w:tr w:rsidR="00557D4E" w:rsidTr="00557D4E">
        <w:tc>
          <w:tcPr>
            <w:tcW w:w="1147" w:type="dxa"/>
          </w:tcPr>
          <w:p w:rsidR="00557D4E" w:rsidRPr="001A2790" w:rsidRDefault="00557D4E" w:rsidP="003756D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M1R1</m:t>
                    </m:r>
                  </m:sub>
                </m:sSub>
              </m:oMath>
            </m:oMathPara>
          </w:p>
        </w:tc>
        <w:tc>
          <w:tcPr>
            <w:tcW w:w="1059" w:type="dxa"/>
          </w:tcPr>
          <w:p w:rsidR="00557D4E" w:rsidRPr="001A2790" w:rsidRDefault="00557D4E" w:rsidP="003756D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M1R2</m:t>
                    </m:r>
                  </m:sub>
                </m:sSub>
              </m:oMath>
            </m:oMathPara>
          </w:p>
        </w:tc>
        <w:tc>
          <w:tcPr>
            <w:tcW w:w="1144" w:type="dxa"/>
          </w:tcPr>
          <w:p w:rsidR="00557D4E" w:rsidRPr="001A2790" w:rsidRDefault="00557D4E" w:rsidP="003756DF"/>
        </w:tc>
        <w:tc>
          <w:tcPr>
            <w:tcW w:w="1080" w:type="dxa"/>
          </w:tcPr>
          <w:p w:rsidR="00557D4E" w:rsidRPr="001A2790" w:rsidRDefault="00557D4E" w:rsidP="003756DF"/>
        </w:tc>
        <w:tc>
          <w:tcPr>
            <w:tcW w:w="1059" w:type="dxa"/>
          </w:tcPr>
          <w:p w:rsidR="00557D4E" w:rsidRPr="001A2790" w:rsidRDefault="00557D4E" w:rsidP="003756DF">
            <m:oMathPara>
              <m:oMath>
                <m:sSub>
                  <m:sSubPr>
                    <m:ctrlPr>
                      <w:rPr>
                        <w:rFonts w:ascii="Cambria Math" w:hAnsi="Cambria Math"/>
                        <w:i/>
                      </w:rPr>
                    </m:ctrlPr>
                  </m:sSubPr>
                  <m:e>
                    <m:r>
                      <w:rPr>
                        <w:rFonts w:ascii="Cambria Math" w:hAnsi="Cambria Math"/>
                      </w:rPr>
                      <m:t>ρ</m:t>
                    </m:r>
                  </m:e>
                  <m:sub>
                    <m:r>
                      <w:rPr>
                        <w:rFonts w:ascii="Cambria Math" w:hAnsi="Cambria Math"/>
                      </w:rPr>
                      <m:t>R1</m:t>
                    </m:r>
                  </m:sub>
                </m:sSub>
              </m:oMath>
            </m:oMathPara>
          </w:p>
        </w:tc>
        <w:tc>
          <w:tcPr>
            <w:tcW w:w="1059" w:type="dxa"/>
          </w:tcPr>
          <w:p w:rsidR="00557D4E" w:rsidRPr="001A2790" w:rsidRDefault="00557D4E" w:rsidP="003756DF">
            <m:oMathPara>
              <m:oMath>
                <m:sSub>
                  <m:sSubPr>
                    <m:ctrlPr>
                      <w:rPr>
                        <w:rFonts w:ascii="Cambria Math" w:hAnsi="Cambria Math"/>
                        <w:i/>
                      </w:rPr>
                    </m:ctrlPr>
                  </m:sSubPr>
                  <m:e>
                    <m:r>
                      <w:rPr>
                        <w:rFonts w:ascii="Cambria Math" w:hAnsi="Cambria Math"/>
                      </w:rPr>
                      <m:t>ρ</m:t>
                    </m:r>
                  </m:e>
                  <m:sub>
                    <m:r>
                      <w:rPr>
                        <w:rFonts w:ascii="Cambria Math" w:hAnsi="Cambria Math"/>
                      </w:rPr>
                      <m:t>R2</m:t>
                    </m:r>
                  </m:sub>
                </m:sSub>
              </m:oMath>
            </m:oMathPara>
          </w:p>
        </w:tc>
        <w:tc>
          <w:tcPr>
            <w:tcW w:w="1053" w:type="dxa"/>
          </w:tcPr>
          <w:p w:rsidR="00557D4E" w:rsidRPr="001A2790" w:rsidRDefault="00557D4E" w:rsidP="003756DF"/>
        </w:tc>
      </w:tr>
      <w:tr w:rsidR="00557D4E" w:rsidRPr="00557D4E" w:rsidTr="00557D4E">
        <w:tc>
          <w:tcPr>
            <w:tcW w:w="1147" w:type="dxa"/>
          </w:tcPr>
          <w:p w:rsidR="00557D4E" w:rsidRPr="00557D4E" w:rsidRDefault="00557D4E" w:rsidP="001A2790">
            <w:pPr>
              <w:rPr>
                <w:color w:val="A6A6A6" w:themeColor="background1" w:themeShade="A6"/>
              </w:rPr>
            </w:pPr>
            <w:r w:rsidRPr="00557D4E">
              <w:rPr>
                <w:color w:val="A6A6A6" w:themeColor="background1" w:themeShade="A6"/>
              </w:rPr>
              <w:t>5.412</w:t>
            </w:r>
          </w:p>
        </w:tc>
        <w:tc>
          <w:tcPr>
            <w:tcW w:w="1059" w:type="dxa"/>
          </w:tcPr>
          <w:p w:rsidR="00557D4E" w:rsidRPr="00557D4E" w:rsidRDefault="00557D4E" w:rsidP="001A2790">
            <w:pPr>
              <w:rPr>
                <w:color w:val="A6A6A6" w:themeColor="background1" w:themeShade="A6"/>
              </w:rPr>
            </w:pPr>
            <w:r w:rsidRPr="00557D4E">
              <w:rPr>
                <w:color w:val="A6A6A6" w:themeColor="background1" w:themeShade="A6"/>
              </w:rPr>
              <w:t>5.412</w:t>
            </w:r>
          </w:p>
        </w:tc>
        <w:tc>
          <w:tcPr>
            <w:tcW w:w="1144" w:type="dxa"/>
          </w:tcPr>
          <w:p w:rsidR="00557D4E" w:rsidRPr="00557D4E" w:rsidRDefault="00557D4E" w:rsidP="001A2790">
            <w:pPr>
              <w:rPr>
                <w:color w:val="A6A6A6" w:themeColor="background1" w:themeShade="A6"/>
              </w:rPr>
            </w:pPr>
          </w:p>
        </w:tc>
        <w:tc>
          <w:tcPr>
            <w:tcW w:w="1080" w:type="dxa"/>
          </w:tcPr>
          <w:p w:rsidR="00557D4E" w:rsidRPr="00557D4E" w:rsidRDefault="00557D4E" w:rsidP="001A2790">
            <w:pPr>
              <w:rPr>
                <w:color w:val="A6A6A6" w:themeColor="background1" w:themeShade="A6"/>
              </w:rPr>
            </w:pPr>
          </w:p>
        </w:tc>
        <w:tc>
          <w:tcPr>
            <w:tcW w:w="1059" w:type="dxa"/>
          </w:tcPr>
          <w:p w:rsidR="00557D4E" w:rsidRPr="00557D4E" w:rsidRDefault="00557D4E" w:rsidP="001A2790">
            <w:pPr>
              <w:rPr>
                <w:color w:val="A6A6A6" w:themeColor="background1" w:themeShade="A6"/>
              </w:rPr>
            </w:pPr>
            <w:r w:rsidRPr="00557D4E">
              <w:rPr>
                <w:color w:val="A6A6A6" w:themeColor="background1" w:themeShade="A6"/>
              </w:rPr>
              <w:t>82.763</w:t>
            </w:r>
          </w:p>
        </w:tc>
        <w:tc>
          <w:tcPr>
            <w:tcW w:w="1059" w:type="dxa"/>
          </w:tcPr>
          <w:p w:rsidR="00557D4E" w:rsidRPr="00557D4E" w:rsidRDefault="00557D4E" w:rsidP="001A2790">
            <w:pPr>
              <w:rPr>
                <w:color w:val="A6A6A6" w:themeColor="background1" w:themeShade="A6"/>
              </w:rPr>
            </w:pPr>
            <w:r w:rsidRPr="00557D4E">
              <w:rPr>
                <w:color w:val="A6A6A6" w:themeColor="background1" w:themeShade="A6"/>
              </w:rPr>
              <w:t>82.763</w:t>
            </w:r>
          </w:p>
        </w:tc>
        <w:tc>
          <w:tcPr>
            <w:tcW w:w="1053" w:type="dxa"/>
          </w:tcPr>
          <w:p w:rsidR="00557D4E" w:rsidRPr="00557D4E" w:rsidRDefault="00557D4E" w:rsidP="001A2790">
            <w:pPr>
              <w:rPr>
                <w:color w:val="A6A6A6" w:themeColor="background1" w:themeShade="A6"/>
              </w:rPr>
            </w:pPr>
          </w:p>
        </w:tc>
      </w:tr>
      <w:tr w:rsidR="00557D4E" w:rsidTr="00557D4E">
        <w:tc>
          <w:tcPr>
            <w:tcW w:w="1147" w:type="dxa"/>
          </w:tcPr>
          <w:p w:rsidR="00557D4E" w:rsidRPr="001A2790" w:rsidRDefault="00557D4E" w:rsidP="003756D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R1B1</m:t>
                    </m:r>
                  </m:sub>
                </m:sSub>
              </m:oMath>
            </m:oMathPara>
          </w:p>
        </w:tc>
        <w:tc>
          <w:tcPr>
            <w:tcW w:w="1059" w:type="dxa"/>
          </w:tcPr>
          <w:p w:rsidR="00557D4E" w:rsidRPr="001A2790" w:rsidRDefault="00557D4E" w:rsidP="003756DF">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R2B1</m:t>
                    </m:r>
                  </m:sub>
                </m:sSub>
              </m:oMath>
            </m:oMathPara>
          </w:p>
        </w:tc>
        <w:tc>
          <w:tcPr>
            <w:tcW w:w="1144" w:type="dxa"/>
          </w:tcPr>
          <w:p w:rsidR="00557D4E" w:rsidRPr="001A2790" w:rsidRDefault="00557D4E" w:rsidP="003756DF"/>
        </w:tc>
        <w:tc>
          <w:tcPr>
            <w:tcW w:w="1080" w:type="dxa"/>
          </w:tcPr>
          <w:p w:rsidR="00557D4E" w:rsidRPr="001A2790" w:rsidRDefault="00557D4E" w:rsidP="003756DF"/>
        </w:tc>
        <w:tc>
          <w:tcPr>
            <w:tcW w:w="1059" w:type="dxa"/>
          </w:tcPr>
          <w:p w:rsidR="00557D4E" w:rsidRPr="001A2790" w:rsidRDefault="00557D4E" w:rsidP="003756DF">
            <m:oMathPara>
              <m:oMath>
                <m:sSub>
                  <m:sSubPr>
                    <m:ctrlPr>
                      <w:rPr>
                        <w:rFonts w:ascii="Cambria Math" w:hAnsi="Cambria Math"/>
                        <w:i/>
                      </w:rPr>
                    </m:ctrlPr>
                  </m:sSubPr>
                  <m:e>
                    <m:r>
                      <w:rPr>
                        <w:rFonts w:ascii="Cambria Math" w:hAnsi="Cambria Math"/>
                      </w:rPr>
                      <m:t>ρ</m:t>
                    </m:r>
                  </m:e>
                  <m:sub>
                    <m:r>
                      <w:rPr>
                        <w:rFonts w:ascii="Cambria Math" w:hAnsi="Cambria Math"/>
                      </w:rPr>
                      <m:t>B1</m:t>
                    </m:r>
                  </m:sub>
                </m:sSub>
              </m:oMath>
            </m:oMathPara>
          </w:p>
        </w:tc>
        <w:tc>
          <w:tcPr>
            <w:tcW w:w="1059" w:type="dxa"/>
          </w:tcPr>
          <w:p w:rsidR="00557D4E" w:rsidRPr="001A2790" w:rsidRDefault="00557D4E" w:rsidP="003756DF"/>
        </w:tc>
        <w:tc>
          <w:tcPr>
            <w:tcW w:w="1053" w:type="dxa"/>
          </w:tcPr>
          <w:p w:rsidR="00557D4E" w:rsidRPr="001A2790" w:rsidRDefault="00557D4E" w:rsidP="003756D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B1</m:t>
                    </m:r>
                  </m:sub>
                </m:sSub>
              </m:oMath>
            </m:oMathPara>
          </w:p>
        </w:tc>
      </w:tr>
      <w:tr w:rsidR="00557D4E" w:rsidRPr="00557D4E" w:rsidTr="00557D4E">
        <w:tc>
          <w:tcPr>
            <w:tcW w:w="1147" w:type="dxa"/>
          </w:tcPr>
          <w:p w:rsidR="00557D4E" w:rsidRPr="00557D4E" w:rsidRDefault="00557D4E" w:rsidP="001A2790">
            <w:pPr>
              <w:rPr>
                <w:color w:val="A6A6A6" w:themeColor="background1" w:themeShade="A6"/>
              </w:rPr>
            </w:pPr>
            <w:r w:rsidRPr="00557D4E">
              <w:rPr>
                <w:color w:val="A6A6A6" w:themeColor="background1" w:themeShade="A6"/>
              </w:rPr>
              <w:t>5.412</w:t>
            </w:r>
          </w:p>
        </w:tc>
        <w:tc>
          <w:tcPr>
            <w:tcW w:w="1059" w:type="dxa"/>
          </w:tcPr>
          <w:p w:rsidR="00557D4E" w:rsidRPr="00557D4E" w:rsidRDefault="00557D4E" w:rsidP="001A2790">
            <w:pPr>
              <w:rPr>
                <w:color w:val="A6A6A6" w:themeColor="background1" w:themeShade="A6"/>
              </w:rPr>
            </w:pPr>
            <w:r w:rsidRPr="00557D4E">
              <w:rPr>
                <w:color w:val="A6A6A6" w:themeColor="background1" w:themeShade="A6"/>
              </w:rPr>
              <w:t>5.412</w:t>
            </w:r>
          </w:p>
        </w:tc>
        <w:tc>
          <w:tcPr>
            <w:tcW w:w="1144" w:type="dxa"/>
          </w:tcPr>
          <w:p w:rsidR="00557D4E" w:rsidRPr="00557D4E" w:rsidRDefault="00557D4E" w:rsidP="001A2790">
            <w:pPr>
              <w:rPr>
                <w:color w:val="A6A6A6" w:themeColor="background1" w:themeShade="A6"/>
              </w:rPr>
            </w:pPr>
          </w:p>
        </w:tc>
        <w:tc>
          <w:tcPr>
            <w:tcW w:w="1080" w:type="dxa"/>
          </w:tcPr>
          <w:p w:rsidR="00557D4E" w:rsidRPr="00557D4E" w:rsidRDefault="00557D4E" w:rsidP="001A2790">
            <w:pPr>
              <w:rPr>
                <w:color w:val="A6A6A6" w:themeColor="background1" w:themeShade="A6"/>
              </w:rPr>
            </w:pPr>
          </w:p>
        </w:tc>
        <w:tc>
          <w:tcPr>
            <w:tcW w:w="1059" w:type="dxa"/>
          </w:tcPr>
          <w:p w:rsidR="00557D4E" w:rsidRPr="00557D4E" w:rsidRDefault="00557D4E" w:rsidP="001A2790">
            <w:pPr>
              <w:rPr>
                <w:color w:val="A6A6A6" w:themeColor="background1" w:themeShade="A6"/>
              </w:rPr>
            </w:pPr>
            <w:r w:rsidRPr="00557D4E">
              <w:rPr>
                <w:color w:val="A6A6A6" w:themeColor="background1" w:themeShade="A6"/>
              </w:rPr>
              <w:t>89.175</w:t>
            </w:r>
          </w:p>
        </w:tc>
        <w:tc>
          <w:tcPr>
            <w:tcW w:w="1059" w:type="dxa"/>
          </w:tcPr>
          <w:p w:rsidR="00557D4E" w:rsidRPr="00557D4E" w:rsidRDefault="00557D4E" w:rsidP="001A2790">
            <w:pPr>
              <w:rPr>
                <w:color w:val="A6A6A6" w:themeColor="background1" w:themeShade="A6"/>
              </w:rPr>
            </w:pPr>
          </w:p>
        </w:tc>
        <w:tc>
          <w:tcPr>
            <w:tcW w:w="1053" w:type="dxa"/>
          </w:tcPr>
          <w:p w:rsidR="00557D4E" w:rsidRPr="00557D4E" w:rsidRDefault="00557D4E" w:rsidP="001A2790">
            <w:pPr>
              <w:rPr>
                <w:color w:val="A6A6A6" w:themeColor="background1" w:themeShade="A6"/>
              </w:rPr>
            </w:pPr>
            <w:r w:rsidRPr="00557D4E">
              <w:rPr>
                <w:color w:val="A6A6A6" w:themeColor="background1" w:themeShade="A6"/>
              </w:rPr>
              <w:t>10.824</w:t>
            </w:r>
          </w:p>
        </w:tc>
      </w:tr>
      <w:tr w:rsidR="00557D4E" w:rsidTr="00557D4E">
        <w:tc>
          <w:tcPr>
            <w:tcW w:w="1147" w:type="dxa"/>
          </w:tcPr>
          <w:p w:rsidR="00557D4E" w:rsidRPr="001A2790" w:rsidRDefault="00557D4E" w:rsidP="003756DF">
            <w:r>
              <w:t>Profit(M1)</w:t>
            </w:r>
          </w:p>
        </w:tc>
        <w:tc>
          <w:tcPr>
            <w:tcW w:w="1059" w:type="dxa"/>
          </w:tcPr>
          <w:p w:rsidR="00557D4E" w:rsidRPr="001A2790" w:rsidRDefault="00557D4E" w:rsidP="003756DF"/>
        </w:tc>
        <w:tc>
          <w:tcPr>
            <w:tcW w:w="1144" w:type="dxa"/>
          </w:tcPr>
          <w:p w:rsidR="00557D4E" w:rsidRPr="001A2790" w:rsidRDefault="00557D4E" w:rsidP="003756DF">
            <w:r>
              <w:t>Profit(R1)</w:t>
            </w:r>
          </w:p>
        </w:tc>
        <w:tc>
          <w:tcPr>
            <w:tcW w:w="1080" w:type="dxa"/>
          </w:tcPr>
          <w:p w:rsidR="00557D4E" w:rsidRPr="001A2790" w:rsidRDefault="00557D4E" w:rsidP="003756DF">
            <w:r>
              <w:t>Profit(R2)</w:t>
            </w:r>
          </w:p>
        </w:tc>
        <w:tc>
          <w:tcPr>
            <w:tcW w:w="1059" w:type="dxa"/>
          </w:tcPr>
          <w:p w:rsidR="00557D4E" w:rsidRPr="001A2790" w:rsidRDefault="00557D4E" w:rsidP="003756DF">
            <w:r>
              <w:t>CS(B1)</w:t>
            </w:r>
          </w:p>
        </w:tc>
        <w:tc>
          <w:tcPr>
            <w:tcW w:w="1059" w:type="dxa"/>
          </w:tcPr>
          <w:p w:rsidR="00557D4E" w:rsidRPr="001A2790" w:rsidRDefault="00557D4E" w:rsidP="003756DF"/>
        </w:tc>
        <w:tc>
          <w:tcPr>
            <w:tcW w:w="1053" w:type="dxa"/>
          </w:tcPr>
          <w:p w:rsidR="00557D4E" w:rsidRPr="001A2790" w:rsidRDefault="00557D4E" w:rsidP="003756DF"/>
        </w:tc>
      </w:tr>
      <w:tr w:rsidR="00557D4E" w:rsidRPr="00557D4E" w:rsidTr="00557D4E">
        <w:tc>
          <w:tcPr>
            <w:tcW w:w="1147" w:type="dxa"/>
          </w:tcPr>
          <w:p w:rsidR="00557D4E" w:rsidRPr="00557D4E" w:rsidRDefault="00557D4E" w:rsidP="003756DF">
            <w:pPr>
              <w:rPr>
                <w:color w:val="A6A6A6" w:themeColor="background1" w:themeShade="A6"/>
              </w:rPr>
            </w:pPr>
            <w:r w:rsidRPr="00557D4E">
              <w:rPr>
                <w:color w:val="A6A6A6" w:themeColor="background1" w:themeShade="A6"/>
              </w:rPr>
              <w:t>290.862</w:t>
            </w:r>
          </w:p>
        </w:tc>
        <w:tc>
          <w:tcPr>
            <w:tcW w:w="1059" w:type="dxa"/>
          </w:tcPr>
          <w:p w:rsidR="00557D4E" w:rsidRPr="00557D4E" w:rsidRDefault="00557D4E" w:rsidP="003756DF">
            <w:pPr>
              <w:rPr>
                <w:color w:val="A6A6A6" w:themeColor="background1" w:themeShade="A6"/>
              </w:rPr>
            </w:pPr>
          </w:p>
        </w:tc>
        <w:tc>
          <w:tcPr>
            <w:tcW w:w="1144" w:type="dxa"/>
          </w:tcPr>
          <w:p w:rsidR="00557D4E" w:rsidRPr="00557D4E" w:rsidRDefault="00557D4E" w:rsidP="003756DF">
            <w:pPr>
              <w:rPr>
                <w:color w:val="A6A6A6" w:themeColor="background1" w:themeShade="A6"/>
              </w:rPr>
            </w:pPr>
            <w:r w:rsidRPr="00557D4E">
              <w:rPr>
                <w:color w:val="A6A6A6" w:themeColor="background1" w:themeShade="A6"/>
              </w:rPr>
              <w:t>58.611</w:t>
            </w:r>
          </w:p>
        </w:tc>
        <w:tc>
          <w:tcPr>
            <w:tcW w:w="1080" w:type="dxa"/>
          </w:tcPr>
          <w:p w:rsidR="00557D4E" w:rsidRPr="00557D4E" w:rsidRDefault="00557D4E" w:rsidP="003756DF">
            <w:pPr>
              <w:rPr>
                <w:color w:val="A6A6A6" w:themeColor="background1" w:themeShade="A6"/>
              </w:rPr>
            </w:pPr>
            <w:r w:rsidRPr="00557D4E">
              <w:rPr>
                <w:color w:val="A6A6A6" w:themeColor="background1" w:themeShade="A6"/>
              </w:rPr>
              <w:t>58.611</w:t>
            </w:r>
          </w:p>
        </w:tc>
        <w:tc>
          <w:tcPr>
            <w:tcW w:w="1059" w:type="dxa"/>
          </w:tcPr>
          <w:p w:rsidR="00557D4E" w:rsidRPr="00557D4E" w:rsidRDefault="00557D4E" w:rsidP="003756DF">
            <w:pPr>
              <w:rPr>
                <w:color w:val="A6A6A6" w:themeColor="background1" w:themeShade="A6"/>
              </w:rPr>
            </w:pPr>
            <w:r w:rsidRPr="00557D4E">
              <w:rPr>
                <w:color w:val="A6A6A6" w:themeColor="background1" w:themeShade="A6"/>
              </w:rPr>
              <w:t>58.585</w:t>
            </w:r>
          </w:p>
        </w:tc>
        <w:tc>
          <w:tcPr>
            <w:tcW w:w="1059" w:type="dxa"/>
          </w:tcPr>
          <w:p w:rsidR="00557D4E" w:rsidRPr="00557D4E" w:rsidRDefault="00557D4E" w:rsidP="003756DF">
            <w:pPr>
              <w:rPr>
                <w:color w:val="A6A6A6" w:themeColor="background1" w:themeShade="A6"/>
              </w:rPr>
            </w:pPr>
          </w:p>
        </w:tc>
        <w:tc>
          <w:tcPr>
            <w:tcW w:w="1053" w:type="dxa"/>
          </w:tcPr>
          <w:p w:rsidR="00557D4E" w:rsidRPr="00557D4E" w:rsidRDefault="00557D4E" w:rsidP="003756DF">
            <w:pPr>
              <w:rPr>
                <w:color w:val="A6A6A6" w:themeColor="background1" w:themeShade="A6"/>
              </w:rPr>
            </w:pPr>
          </w:p>
        </w:tc>
      </w:tr>
    </w:tbl>
    <w:p w:rsidR="00B1225A" w:rsidRDefault="00B1225A" w:rsidP="00B1225A">
      <w:pPr>
        <w:pStyle w:val="ListParagraph"/>
        <w:rPr>
          <w:lang w:val="en-US"/>
        </w:rPr>
      </w:pPr>
    </w:p>
    <w:p w:rsidR="003F03B2" w:rsidRDefault="00B5518C" w:rsidP="00B1225A">
      <w:pPr>
        <w:pStyle w:val="ListParagraph"/>
        <w:numPr>
          <w:ilvl w:val="0"/>
          <w:numId w:val="3"/>
        </w:numPr>
        <w:rPr>
          <w:lang w:val="en-US"/>
        </w:rPr>
      </w:pPr>
      <w:r>
        <w:rPr>
          <w:lang w:val="en-US"/>
        </w:rPr>
        <w:t xml:space="preserve">Suppose the </w:t>
      </w:r>
      <w:r w:rsidR="003F03B2">
        <w:rPr>
          <w:lang w:val="en-US"/>
        </w:rPr>
        <w:t>patent expires. A manufacturer M2 can enter the market and produce the drug at the following production cost:</w:t>
      </w:r>
    </w:p>
    <w:p w:rsidR="003F03B2" w:rsidRPr="003F03B2" w:rsidRDefault="00557D4E" w:rsidP="003F03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M2</m:t>
              </m:r>
            </m:sub>
          </m:sSub>
          <m:r>
            <w:rPr>
              <w:rFonts w:ascii="Cambria Math" w:hAnsi="Cambria Math"/>
            </w:rPr>
            <m:t>=5+2.5</m:t>
          </m:r>
          <m:sSubSup>
            <m:sSubSupPr>
              <m:ctrlPr>
                <w:rPr>
                  <w:rFonts w:ascii="Cambria Math" w:hAnsi="Cambria Math"/>
                  <w:i/>
                </w:rPr>
              </m:ctrlPr>
            </m:sSubSupPr>
            <m:e>
              <m:r>
                <w:rPr>
                  <w:rFonts w:ascii="Cambria Math" w:hAnsi="Cambria Math"/>
                </w:rPr>
                <m:t>q</m:t>
              </m:r>
            </m:e>
            <m:sub>
              <m:r>
                <w:rPr>
                  <w:rFonts w:ascii="Cambria Math" w:hAnsi="Cambria Math"/>
                </w:rPr>
                <m:t>M2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q</m:t>
              </m:r>
            </m:e>
            <m:sub>
              <m:r>
                <w:rPr>
                  <w:rFonts w:ascii="Cambria Math" w:hAnsi="Cambria Math"/>
                </w:rPr>
                <m:t>M2</m:t>
              </m:r>
            </m:sub>
            <m:sup/>
          </m:sSubSup>
        </m:oMath>
      </m:oMathPara>
    </w:p>
    <w:p w:rsidR="003F03B2" w:rsidRPr="003F03B2" w:rsidRDefault="003F03B2" w:rsidP="003F03B2">
      <w:pPr>
        <w:rPr>
          <w:rFonts w:eastAsiaTheme="minorEastAsia"/>
        </w:rPr>
      </w:pPr>
      <w:r>
        <w:rPr>
          <w:rFonts w:eastAsiaTheme="minorEastAsia"/>
        </w:rPr>
        <w:tab/>
        <w:t xml:space="preserve">The transaction cost facing M2 is the same as that facing M1. </w:t>
      </w:r>
    </w:p>
    <w:p w:rsidR="00B1225A" w:rsidRDefault="003F03B2" w:rsidP="003F03B2">
      <w:pPr>
        <w:pStyle w:val="ListParagraph"/>
        <w:rPr>
          <w:lang w:val="en-US"/>
        </w:rPr>
      </w:pPr>
      <w:r>
        <w:rPr>
          <w:lang w:val="en-US"/>
        </w:rPr>
        <w:t>Solve the VI problem again and fill in the following table:</w:t>
      </w:r>
    </w:p>
    <w:p w:rsidR="00326776" w:rsidRPr="003F03B2" w:rsidRDefault="00326776" w:rsidP="003F03B2">
      <w:pPr>
        <w:pStyle w:val="ListParagraph"/>
        <w:rPr>
          <w:rFonts w:eastAsiaTheme="minorEastAsia"/>
          <w:lang w:val="en-US"/>
        </w:rPr>
      </w:pPr>
      <w:bookmarkStart w:id="0" w:name="_GoBack"/>
      <w:bookmarkEnd w:id="0"/>
    </w:p>
    <w:tbl>
      <w:tblPr>
        <w:tblStyle w:val="TableGrid"/>
        <w:tblW w:w="0" w:type="auto"/>
        <w:tblInd w:w="720" w:type="dxa"/>
        <w:tblLook w:val="04A0" w:firstRow="1" w:lastRow="0" w:firstColumn="1" w:lastColumn="0" w:noHBand="0" w:noVBand="1"/>
      </w:tblPr>
      <w:tblGrid>
        <w:gridCol w:w="1147"/>
        <w:gridCol w:w="1147"/>
        <w:gridCol w:w="1140"/>
        <w:gridCol w:w="1080"/>
        <w:gridCol w:w="1046"/>
        <w:gridCol w:w="1046"/>
        <w:gridCol w:w="1040"/>
      </w:tblGrid>
      <w:tr w:rsidR="00557D4E" w:rsidTr="00557D4E">
        <w:tc>
          <w:tcPr>
            <w:tcW w:w="1147" w:type="dxa"/>
          </w:tcPr>
          <w:p w:rsidR="00557D4E" w:rsidRPr="001A2790" w:rsidRDefault="00557D4E" w:rsidP="00CF3857">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M1R1</m:t>
                    </m:r>
                  </m:sub>
                </m:sSub>
              </m:oMath>
            </m:oMathPara>
          </w:p>
        </w:tc>
        <w:tc>
          <w:tcPr>
            <w:tcW w:w="1147" w:type="dxa"/>
          </w:tcPr>
          <w:p w:rsidR="00557D4E" w:rsidRPr="001A2790" w:rsidRDefault="00557D4E" w:rsidP="00CF3857">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M1R2</m:t>
                    </m:r>
                  </m:sub>
                </m:sSub>
              </m:oMath>
            </m:oMathPara>
          </w:p>
        </w:tc>
        <w:tc>
          <w:tcPr>
            <w:tcW w:w="1140" w:type="dxa"/>
          </w:tcPr>
          <w:p w:rsidR="00557D4E" w:rsidRPr="001A2790" w:rsidRDefault="00557D4E" w:rsidP="00CF3857">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M2R1</m:t>
                    </m:r>
                  </m:sub>
                </m:sSub>
              </m:oMath>
            </m:oMathPara>
          </w:p>
        </w:tc>
        <w:tc>
          <w:tcPr>
            <w:tcW w:w="1080" w:type="dxa"/>
          </w:tcPr>
          <w:p w:rsidR="00557D4E" w:rsidRPr="001A2790" w:rsidRDefault="00557D4E" w:rsidP="00CF3857">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M2R2</m:t>
                    </m:r>
                  </m:sub>
                </m:sSub>
              </m:oMath>
            </m:oMathPara>
          </w:p>
        </w:tc>
        <w:tc>
          <w:tcPr>
            <w:tcW w:w="1046" w:type="dxa"/>
          </w:tcPr>
          <w:p w:rsidR="00557D4E" w:rsidRPr="001A2790" w:rsidRDefault="00557D4E" w:rsidP="00CF3857">
            <m:oMathPara>
              <m:oMath>
                <m:sSub>
                  <m:sSubPr>
                    <m:ctrlPr>
                      <w:rPr>
                        <w:rFonts w:ascii="Cambria Math" w:hAnsi="Cambria Math"/>
                        <w:i/>
                      </w:rPr>
                    </m:ctrlPr>
                  </m:sSubPr>
                  <m:e>
                    <m:r>
                      <w:rPr>
                        <w:rFonts w:ascii="Cambria Math" w:hAnsi="Cambria Math"/>
                      </w:rPr>
                      <m:t>ρ</m:t>
                    </m:r>
                  </m:e>
                  <m:sub>
                    <m:r>
                      <w:rPr>
                        <w:rFonts w:ascii="Cambria Math" w:hAnsi="Cambria Math"/>
                      </w:rPr>
                      <m:t>R1</m:t>
                    </m:r>
                  </m:sub>
                </m:sSub>
              </m:oMath>
            </m:oMathPara>
          </w:p>
        </w:tc>
        <w:tc>
          <w:tcPr>
            <w:tcW w:w="1046" w:type="dxa"/>
          </w:tcPr>
          <w:p w:rsidR="00557D4E" w:rsidRPr="001A2790" w:rsidRDefault="00557D4E" w:rsidP="00CF3857">
            <m:oMathPara>
              <m:oMath>
                <m:sSub>
                  <m:sSubPr>
                    <m:ctrlPr>
                      <w:rPr>
                        <w:rFonts w:ascii="Cambria Math" w:hAnsi="Cambria Math"/>
                        <w:i/>
                      </w:rPr>
                    </m:ctrlPr>
                  </m:sSubPr>
                  <m:e>
                    <m:r>
                      <w:rPr>
                        <w:rFonts w:ascii="Cambria Math" w:hAnsi="Cambria Math"/>
                      </w:rPr>
                      <m:t>ρ</m:t>
                    </m:r>
                  </m:e>
                  <m:sub>
                    <m:r>
                      <w:rPr>
                        <w:rFonts w:ascii="Cambria Math" w:hAnsi="Cambria Math"/>
                      </w:rPr>
                      <m:t>R2</m:t>
                    </m:r>
                  </m:sub>
                </m:sSub>
              </m:oMath>
            </m:oMathPara>
          </w:p>
        </w:tc>
        <w:tc>
          <w:tcPr>
            <w:tcW w:w="1040" w:type="dxa"/>
          </w:tcPr>
          <w:p w:rsidR="00557D4E" w:rsidRPr="001A2790" w:rsidRDefault="00557D4E" w:rsidP="00CF3857"/>
        </w:tc>
      </w:tr>
      <w:tr w:rsidR="00557D4E" w:rsidRPr="00557D4E" w:rsidTr="00557D4E">
        <w:tc>
          <w:tcPr>
            <w:tcW w:w="1147" w:type="dxa"/>
          </w:tcPr>
          <w:p w:rsidR="00557D4E" w:rsidRPr="00557D4E" w:rsidRDefault="00557D4E" w:rsidP="00CF3857">
            <w:pPr>
              <w:rPr>
                <w:color w:val="A6A6A6" w:themeColor="background1" w:themeShade="A6"/>
              </w:rPr>
            </w:pPr>
            <w:r w:rsidRPr="00557D4E">
              <w:rPr>
                <w:color w:val="A6A6A6" w:themeColor="background1" w:themeShade="A6"/>
              </w:rPr>
              <w:t>3.730</w:t>
            </w:r>
          </w:p>
        </w:tc>
        <w:tc>
          <w:tcPr>
            <w:tcW w:w="1147" w:type="dxa"/>
          </w:tcPr>
          <w:p w:rsidR="00557D4E" w:rsidRPr="00557D4E" w:rsidRDefault="00557D4E" w:rsidP="00CF3857">
            <w:pPr>
              <w:rPr>
                <w:color w:val="A6A6A6" w:themeColor="background1" w:themeShade="A6"/>
              </w:rPr>
            </w:pPr>
            <w:r w:rsidRPr="00557D4E">
              <w:rPr>
                <w:color w:val="A6A6A6" w:themeColor="background1" w:themeShade="A6"/>
              </w:rPr>
              <w:t>3.730</w:t>
            </w:r>
          </w:p>
        </w:tc>
        <w:tc>
          <w:tcPr>
            <w:tcW w:w="1140" w:type="dxa"/>
          </w:tcPr>
          <w:p w:rsidR="00557D4E" w:rsidRPr="00557D4E" w:rsidRDefault="00557D4E" w:rsidP="00CF3857">
            <w:pPr>
              <w:rPr>
                <w:color w:val="A6A6A6" w:themeColor="background1" w:themeShade="A6"/>
              </w:rPr>
            </w:pPr>
            <w:r w:rsidRPr="00557D4E">
              <w:rPr>
                <w:color w:val="A6A6A6" w:themeColor="background1" w:themeShade="A6"/>
              </w:rPr>
              <w:t>3.108</w:t>
            </w:r>
          </w:p>
        </w:tc>
        <w:tc>
          <w:tcPr>
            <w:tcW w:w="1080" w:type="dxa"/>
          </w:tcPr>
          <w:p w:rsidR="00557D4E" w:rsidRPr="00557D4E" w:rsidRDefault="00557D4E" w:rsidP="00CF3857">
            <w:pPr>
              <w:rPr>
                <w:color w:val="A6A6A6" w:themeColor="background1" w:themeShade="A6"/>
              </w:rPr>
            </w:pPr>
            <w:r w:rsidRPr="00557D4E">
              <w:rPr>
                <w:color w:val="A6A6A6" w:themeColor="background1" w:themeShade="A6"/>
              </w:rPr>
              <w:t>3.108</w:t>
            </w:r>
          </w:p>
        </w:tc>
        <w:tc>
          <w:tcPr>
            <w:tcW w:w="1046" w:type="dxa"/>
          </w:tcPr>
          <w:p w:rsidR="00557D4E" w:rsidRPr="00557D4E" w:rsidRDefault="00557D4E" w:rsidP="00CF3857">
            <w:pPr>
              <w:rPr>
                <w:color w:val="A6A6A6" w:themeColor="background1" w:themeShade="A6"/>
              </w:rPr>
            </w:pPr>
            <w:r w:rsidRPr="00557D4E">
              <w:rPr>
                <w:color w:val="A6A6A6" w:themeColor="background1" w:themeShade="A6"/>
              </w:rPr>
              <w:t>71.647</w:t>
            </w:r>
          </w:p>
        </w:tc>
        <w:tc>
          <w:tcPr>
            <w:tcW w:w="1046" w:type="dxa"/>
          </w:tcPr>
          <w:p w:rsidR="00557D4E" w:rsidRPr="00557D4E" w:rsidRDefault="00557D4E" w:rsidP="00CF3857">
            <w:pPr>
              <w:rPr>
                <w:color w:val="A6A6A6" w:themeColor="background1" w:themeShade="A6"/>
              </w:rPr>
            </w:pPr>
            <w:r w:rsidRPr="00557D4E">
              <w:rPr>
                <w:color w:val="A6A6A6" w:themeColor="background1" w:themeShade="A6"/>
              </w:rPr>
              <w:t>71.647</w:t>
            </w:r>
          </w:p>
        </w:tc>
        <w:tc>
          <w:tcPr>
            <w:tcW w:w="1040" w:type="dxa"/>
          </w:tcPr>
          <w:p w:rsidR="00557D4E" w:rsidRPr="00557D4E" w:rsidRDefault="00557D4E" w:rsidP="00CF3857">
            <w:pPr>
              <w:rPr>
                <w:color w:val="A6A6A6" w:themeColor="background1" w:themeShade="A6"/>
              </w:rPr>
            </w:pPr>
          </w:p>
        </w:tc>
      </w:tr>
      <w:tr w:rsidR="00557D4E" w:rsidTr="00557D4E">
        <w:tc>
          <w:tcPr>
            <w:tcW w:w="1147" w:type="dxa"/>
          </w:tcPr>
          <w:p w:rsidR="00557D4E" w:rsidRPr="001A2790" w:rsidRDefault="00557D4E" w:rsidP="00CF3857">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R1B1</m:t>
                    </m:r>
                  </m:sub>
                </m:sSub>
              </m:oMath>
            </m:oMathPara>
          </w:p>
        </w:tc>
        <w:tc>
          <w:tcPr>
            <w:tcW w:w="1147" w:type="dxa"/>
          </w:tcPr>
          <w:p w:rsidR="00557D4E" w:rsidRPr="001A2790" w:rsidRDefault="00557D4E" w:rsidP="00CF3857">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R2B1</m:t>
                    </m:r>
                  </m:sub>
                </m:sSub>
              </m:oMath>
            </m:oMathPara>
          </w:p>
        </w:tc>
        <w:tc>
          <w:tcPr>
            <w:tcW w:w="1140" w:type="dxa"/>
          </w:tcPr>
          <w:p w:rsidR="00557D4E" w:rsidRPr="001A2790" w:rsidRDefault="00557D4E" w:rsidP="00CF3857"/>
        </w:tc>
        <w:tc>
          <w:tcPr>
            <w:tcW w:w="1080" w:type="dxa"/>
          </w:tcPr>
          <w:p w:rsidR="00557D4E" w:rsidRPr="001A2790" w:rsidRDefault="00557D4E" w:rsidP="00CF3857"/>
        </w:tc>
        <w:tc>
          <w:tcPr>
            <w:tcW w:w="1046" w:type="dxa"/>
          </w:tcPr>
          <w:p w:rsidR="00557D4E" w:rsidRPr="001A2790" w:rsidRDefault="00557D4E" w:rsidP="00CF3857">
            <m:oMathPara>
              <m:oMath>
                <m:sSub>
                  <m:sSubPr>
                    <m:ctrlPr>
                      <w:rPr>
                        <w:rFonts w:ascii="Cambria Math" w:hAnsi="Cambria Math"/>
                        <w:i/>
                      </w:rPr>
                    </m:ctrlPr>
                  </m:sSubPr>
                  <m:e>
                    <m:r>
                      <w:rPr>
                        <w:rFonts w:ascii="Cambria Math" w:hAnsi="Cambria Math"/>
                      </w:rPr>
                      <m:t>ρ</m:t>
                    </m:r>
                  </m:e>
                  <m:sub>
                    <m:r>
                      <w:rPr>
                        <w:rFonts w:ascii="Cambria Math" w:hAnsi="Cambria Math"/>
                      </w:rPr>
                      <m:t>B1</m:t>
                    </m:r>
                  </m:sub>
                </m:sSub>
              </m:oMath>
            </m:oMathPara>
          </w:p>
        </w:tc>
        <w:tc>
          <w:tcPr>
            <w:tcW w:w="1046" w:type="dxa"/>
          </w:tcPr>
          <w:p w:rsidR="00557D4E" w:rsidRPr="001A2790" w:rsidRDefault="00557D4E" w:rsidP="00CF3857"/>
        </w:tc>
        <w:tc>
          <w:tcPr>
            <w:tcW w:w="1040" w:type="dxa"/>
          </w:tcPr>
          <w:p w:rsidR="00557D4E" w:rsidRPr="001A2790" w:rsidRDefault="00557D4E" w:rsidP="00314BF2">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B1</m:t>
                    </m:r>
                  </m:sub>
                </m:sSub>
              </m:oMath>
            </m:oMathPara>
          </w:p>
        </w:tc>
      </w:tr>
      <w:tr w:rsidR="00557D4E" w:rsidRPr="00557D4E" w:rsidTr="00557D4E">
        <w:tc>
          <w:tcPr>
            <w:tcW w:w="1147" w:type="dxa"/>
          </w:tcPr>
          <w:p w:rsidR="00557D4E" w:rsidRPr="00557D4E" w:rsidRDefault="00557D4E" w:rsidP="00CF3857">
            <w:pPr>
              <w:rPr>
                <w:color w:val="A6A6A6" w:themeColor="background1" w:themeShade="A6"/>
              </w:rPr>
            </w:pPr>
            <w:r w:rsidRPr="00557D4E">
              <w:rPr>
                <w:color w:val="A6A6A6" w:themeColor="background1" w:themeShade="A6"/>
              </w:rPr>
              <w:t>6.838</w:t>
            </w:r>
          </w:p>
        </w:tc>
        <w:tc>
          <w:tcPr>
            <w:tcW w:w="1147" w:type="dxa"/>
          </w:tcPr>
          <w:p w:rsidR="00557D4E" w:rsidRPr="00557D4E" w:rsidRDefault="00557D4E" w:rsidP="00CF3857">
            <w:pPr>
              <w:rPr>
                <w:color w:val="A6A6A6" w:themeColor="background1" w:themeShade="A6"/>
              </w:rPr>
            </w:pPr>
            <w:r w:rsidRPr="00557D4E">
              <w:rPr>
                <w:color w:val="A6A6A6" w:themeColor="background1" w:themeShade="A6"/>
              </w:rPr>
              <w:t>6.838</w:t>
            </w:r>
          </w:p>
        </w:tc>
        <w:tc>
          <w:tcPr>
            <w:tcW w:w="1140" w:type="dxa"/>
          </w:tcPr>
          <w:p w:rsidR="00557D4E" w:rsidRPr="00557D4E" w:rsidRDefault="00557D4E" w:rsidP="00CF3857">
            <w:pPr>
              <w:rPr>
                <w:color w:val="A6A6A6" w:themeColor="background1" w:themeShade="A6"/>
              </w:rPr>
            </w:pPr>
          </w:p>
        </w:tc>
        <w:tc>
          <w:tcPr>
            <w:tcW w:w="1080" w:type="dxa"/>
          </w:tcPr>
          <w:p w:rsidR="00557D4E" w:rsidRPr="00557D4E" w:rsidRDefault="00557D4E" w:rsidP="00CF3857">
            <w:pPr>
              <w:rPr>
                <w:color w:val="A6A6A6" w:themeColor="background1" w:themeShade="A6"/>
              </w:rPr>
            </w:pPr>
          </w:p>
        </w:tc>
        <w:tc>
          <w:tcPr>
            <w:tcW w:w="1046" w:type="dxa"/>
          </w:tcPr>
          <w:p w:rsidR="00557D4E" w:rsidRPr="00557D4E" w:rsidRDefault="00557D4E" w:rsidP="00CF3857">
            <w:pPr>
              <w:rPr>
                <w:color w:val="A6A6A6" w:themeColor="background1" w:themeShade="A6"/>
              </w:rPr>
            </w:pPr>
            <w:r w:rsidRPr="00557D4E">
              <w:rPr>
                <w:color w:val="A6A6A6" w:themeColor="background1" w:themeShade="A6"/>
              </w:rPr>
              <w:t>86.323</w:t>
            </w:r>
          </w:p>
        </w:tc>
        <w:tc>
          <w:tcPr>
            <w:tcW w:w="1046" w:type="dxa"/>
          </w:tcPr>
          <w:p w:rsidR="00557D4E" w:rsidRPr="00557D4E" w:rsidRDefault="00557D4E" w:rsidP="00CF3857">
            <w:pPr>
              <w:rPr>
                <w:color w:val="A6A6A6" w:themeColor="background1" w:themeShade="A6"/>
              </w:rPr>
            </w:pPr>
          </w:p>
        </w:tc>
        <w:tc>
          <w:tcPr>
            <w:tcW w:w="1040" w:type="dxa"/>
          </w:tcPr>
          <w:p w:rsidR="00557D4E" w:rsidRPr="00557D4E" w:rsidRDefault="00557D4E" w:rsidP="00CF3857">
            <w:pPr>
              <w:rPr>
                <w:color w:val="A6A6A6" w:themeColor="background1" w:themeShade="A6"/>
              </w:rPr>
            </w:pPr>
            <w:r w:rsidRPr="00557D4E">
              <w:rPr>
                <w:color w:val="A6A6A6" w:themeColor="background1" w:themeShade="A6"/>
              </w:rPr>
              <w:t>13.676</w:t>
            </w:r>
          </w:p>
        </w:tc>
      </w:tr>
      <w:tr w:rsidR="00557D4E" w:rsidTr="00557D4E">
        <w:tc>
          <w:tcPr>
            <w:tcW w:w="1147" w:type="dxa"/>
          </w:tcPr>
          <w:p w:rsidR="00557D4E" w:rsidRPr="001A2790" w:rsidRDefault="00557D4E" w:rsidP="00CF3857">
            <w:r>
              <w:t>Profit(M1)</w:t>
            </w:r>
          </w:p>
        </w:tc>
        <w:tc>
          <w:tcPr>
            <w:tcW w:w="1147" w:type="dxa"/>
          </w:tcPr>
          <w:p w:rsidR="00557D4E" w:rsidRPr="001A2790" w:rsidRDefault="00557D4E" w:rsidP="00CF3857">
            <w:r>
              <w:t>Profit(M2)</w:t>
            </w:r>
          </w:p>
        </w:tc>
        <w:tc>
          <w:tcPr>
            <w:tcW w:w="1140" w:type="dxa"/>
          </w:tcPr>
          <w:p w:rsidR="00557D4E" w:rsidRPr="001A2790" w:rsidRDefault="00557D4E" w:rsidP="00CF3857">
            <w:r>
              <w:t>Profit(R1)</w:t>
            </w:r>
          </w:p>
        </w:tc>
        <w:tc>
          <w:tcPr>
            <w:tcW w:w="1080" w:type="dxa"/>
          </w:tcPr>
          <w:p w:rsidR="00557D4E" w:rsidRPr="001A2790" w:rsidRDefault="00557D4E" w:rsidP="00CF3857">
            <w:r>
              <w:t>Profit(R2)</w:t>
            </w:r>
          </w:p>
        </w:tc>
        <w:tc>
          <w:tcPr>
            <w:tcW w:w="1046" w:type="dxa"/>
          </w:tcPr>
          <w:p w:rsidR="00557D4E" w:rsidRPr="001A2790" w:rsidRDefault="00557D4E" w:rsidP="00CF3857">
            <w:r>
              <w:t>CS(B1)</w:t>
            </w:r>
          </w:p>
        </w:tc>
        <w:tc>
          <w:tcPr>
            <w:tcW w:w="1046" w:type="dxa"/>
          </w:tcPr>
          <w:p w:rsidR="00557D4E" w:rsidRPr="001A2790" w:rsidRDefault="00557D4E" w:rsidP="00CF3857"/>
        </w:tc>
        <w:tc>
          <w:tcPr>
            <w:tcW w:w="1040" w:type="dxa"/>
          </w:tcPr>
          <w:p w:rsidR="00557D4E" w:rsidRPr="001A2790" w:rsidRDefault="00557D4E" w:rsidP="00CF3857"/>
        </w:tc>
      </w:tr>
      <w:tr w:rsidR="00557D4E" w:rsidRPr="00557D4E" w:rsidTr="00557D4E">
        <w:tc>
          <w:tcPr>
            <w:tcW w:w="1147" w:type="dxa"/>
          </w:tcPr>
          <w:p w:rsidR="00557D4E" w:rsidRPr="00557D4E" w:rsidRDefault="00557D4E" w:rsidP="00CF3857">
            <w:pPr>
              <w:rPr>
                <w:color w:val="A6A6A6" w:themeColor="background1" w:themeShade="A6"/>
              </w:rPr>
            </w:pPr>
            <w:r w:rsidRPr="00557D4E">
              <w:rPr>
                <w:color w:val="A6A6A6" w:themeColor="background1" w:themeShade="A6"/>
              </w:rPr>
              <w:t>137.102</w:t>
            </w:r>
          </w:p>
        </w:tc>
        <w:tc>
          <w:tcPr>
            <w:tcW w:w="1147" w:type="dxa"/>
          </w:tcPr>
          <w:p w:rsidR="00557D4E" w:rsidRPr="00557D4E" w:rsidRDefault="00557D4E" w:rsidP="00CF3857">
            <w:pPr>
              <w:rPr>
                <w:color w:val="A6A6A6" w:themeColor="background1" w:themeShade="A6"/>
              </w:rPr>
            </w:pPr>
            <w:r w:rsidRPr="00557D4E">
              <w:rPr>
                <w:color w:val="A6A6A6" w:themeColor="background1" w:themeShade="A6"/>
              </w:rPr>
              <w:t>115.918</w:t>
            </w:r>
          </w:p>
        </w:tc>
        <w:tc>
          <w:tcPr>
            <w:tcW w:w="1140" w:type="dxa"/>
          </w:tcPr>
          <w:p w:rsidR="00557D4E" w:rsidRPr="00557D4E" w:rsidRDefault="00557D4E" w:rsidP="00CF3857">
            <w:pPr>
              <w:rPr>
                <w:color w:val="A6A6A6" w:themeColor="background1" w:themeShade="A6"/>
              </w:rPr>
            </w:pPr>
            <w:r w:rsidRPr="00557D4E">
              <w:rPr>
                <w:color w:val="A6A6A6" w:themeColor="background1" w:themeShade="A6"/>
              </w:rPr>
              <w:t>93.545</w:t>
            </w:r>
          </w:p>
        </w:tc>
        <w:tc>
          <w:tcPr>
            <w:tcW w:w="1080" w:type="dxa"/>
          </w:tcPr>
          <w:p w:rsidR="00557D4E" w:rsidRPr="00557D4E" w:rsidRDefault="00557D4E" w:rsidP="00CF3857">
            <w:pPr>
              <w:rPr>
                <w:color w:val="A6A6A6" w:themeColor="background1" w:themeShade="A6"/>
              </w:rPr>
            </w:pPr>
            <w:r w:rsidRPr="00557D4E">
              <w:rPr>
                <w:color w:val="A6A6A6" w:themeColor="background1" w:themeShade="A6"/>
              </w:rPr>
              <w:t>93.545</w:t>
            </w:r>
          </w:p>
        </w:tc>
        <w:tc>
          <w:tcPr>
            <w:tcW w:w="1046" w:type="dxa"/>
          </w:tcPr>
          <w:p w:rsidR="00557D4E" w:rsidRPr="00557D4E" w:rsidRDefault="00557D4E" w:rsidP="00CF3857">
            <w:pPr>
              <w:rPr>
                <w:color w:val="A6A6A6" w:themeColor="background1" w:themeShade="A6"/>
              </w:rPr>
            </w:pPr>
            <w:r w:rsidRPr="00557D4E">
              <w:rPr>
                <w:color w:val="A6A6A6" w:themeColor="background1" w:themeShade="A6"/>
              </w:rPr>
              <w:t>93.525</w:t>
            </w:r>
          </w:p>
        </w:tc>
        <w:tc>
          <w:tcPr>
            <w:tcW w:w="1046" w:type="dxa"/>
          </w:tcPr>
          <w:p w:rsidR="00557D4E" w:rsidRPr="00557D4E" w:rsidRDefault="00557D4E" w:rsidP="00CF3857">
            <w:pPr>
              <w:rPr>
                <w:color w:val="A6A6A6" w:themeColor="background1" w:themeShade="A6"/>
              </w:rPr>
            </w:pPr>
          </w:p>
        </w:tc>
        <w:tc>
          <w:tcPr>
            <w:tcW w:w="1040" w:type="dxa"/>
          </w:tcPr>
          <w:p w:rsidR="00557D4E" w:rsidRPr="00557D4E" w:rsidRDefault="00557D4E" w:rsidP="00CF3857">
            <w:pPr>
              <w:rPr>
                <w:color w:val="A6A6A6" w:themeColor="background1" w:themeShade="A6"/>
              </w:rPr>
            </w:pPr>
          </w:p>
        </w:tc>
      </w:tr>
    </w:tbl>
    <w:p w:rsidR="003756DF" w:rsidRPr="003756DF" w:rsidRDefault="003756DF" w:rsidP="003756DF"/>
    <w:p w:rsidR="00B1225A" w:rsidRDefault="002730A2" w:rsidP="002730A2">
      <w:pPr>
        <w:pStyle w:val="ListParagraph"/>
        <w:numPr>
          <w:ilvl w:val="0"/>
          <w:numId w:val="3"/>
        </w:numPr>
        <w:rPr>
          <w:lang w:val="en-US"/>
        </w:rPr>
      </w:pPr>
      <w:r>
        <w:rPr>
          <w:lang w:val="en-US"/>
        </w:rPr>
        <w:t>Suppose M1 is given the option to extend the patent for 10 more years, so as to keep the new entrant out of the market. If you were M1, what is the maximum amount that you are willing to pay for the extension of the patent? (assume all the above c</w:t>
      </w:r>
      <w:r w:rsidR="00314BF2">
        <w:rPr>
          <w:lang w:val="en-US"/>
        </w:rPr>
        <w:t>alculations are on annual basis and a discount rate of 5%</w:t>
      </w:r>
      <w:r>
        <w:rPr>
          <w:lang w:val="en-US"/>
        </w:rPr>
        <w:t>)</w:t>
      </w:r>
    </w:p>
    <w:p w:rsidR="00314BF2" w:rsidRPr="00557D4E" w:rsidRDefault="00314BF2" w:rsidP="00314BF2">
      <w:pPr>
        <w:pStyle w:val="ListParagraph"/>
        <w:rPr>
          <w:color w:val="A6A6A6" w:themeColor="background1" w:themeShade="A6"/>
          <w:lang w:val="en-US"/>
        </w:rPr>
      </w:pPr>
      <w:r w:rsidRPr="00557D4E">
        <w:rPr>
          <w:color w:val="A6A6A6" w:themeColor="background1" w:themeShade="A6"/>
          <w:lang w:val="en-US"/>
        </w:rPr>
        <w:t>Net present value of the difference in profits between the two scenarios:</w:t>
      </w:r>
    </w:p>
    <w:p w:rsidR="00314BF2" w:rsidRPr="00557D4E" w:rsidRDefault="00E366BA" w:rsidP="00314BF2">
      <w:pPr>
        <w:pStyle w:val="ListParagraph"/>
        <w:rPr>
          <w:color w:val="A6A6A6" w:themeColor="background1" w:themeShade="A6"/>
          <w:lang w:val="en-US"/>
        </w:rPr>
      </w:pPr>
      <w:r w:rsidRPr="00557D4E">
        <w:rPr>
          <w:color w:val="A6A6A6" w:themeColor="background1" w:themeShade="A6"/>
          <w:lang w:val="en-US"/>
        </w:rPr>
        <w:t>Annuity (2</w:t>
      </w:r>
      <w:r w:rsidR="00314BF2" w:rsidRPr="00557D4E">
        <w:rPr>
          <w:color w:val="A6A6A6" w:themeColor="background1" w:themeShade="A6"/>
          <w:lang w:val="en-US"/>
        </w:rPr>
        <w:t>90.862-137.102) for ten years, discounted at 5%</w:t>
      </w:r>
    </w:p>
    <w:p w:rsidR="00314BF2" w:rsidRPr="00557D4E" w:rsidRDefault="00E366BA" w:rsidP="00314BF2">
      <w:pPr>
        <w:pStyle w:val="ListParagraph"/>
        <w:rPr>
          <w:color w:val="A6A6A6" w:themeColor="background1" w:themeShade="A6"/>
          <w:lang w:val="en-US"/>
        </w:rPr>
      </w:pPr>
      <w:r w:rsidRPr="00557D4E">
        <w:rPr>
          <w:color w:val="A6A6A6" w:themeColor="background1" w:themeShade="A6"/>
          <w:lang w:val="en-US"/>
        </w:rPr>
        <w:t xml:space="preserve">= 153.76/0.05*(1-(1/1.05)**10) = 1187.294. </w:t>
      </w:r>
    </w:p>
    <w:p w:rsidR="00E366BA" w:rsidRPr="00557D4E" w:rsidRDefault="00E366BA" w:rsidP="00314BF2">
      <w:pPr>
        <w:pStyle w:val="ListParagraph"/>
        <w:rPr>
          <w:color w:val="A6A6A6" w:themeColor="background1" w:themeShade="A6"/>
          <w:lang w:val="en-US"/>
        </w:rPr>
      </w:pPr>
      <w:r w:rsidRPr="00557D4E">
        <w:rPr>
          <w:color w:val="A6A6A6" w:themeColor="background1" w:themeShade="A6"/>
          <w:lang w:val="en-US"/>
        </w:rPr>
        <w:t>The patent will bring this extra profit in the coming ten years.</w:t>
      </w:r>
    </w:p>
    <w:p w:rsidR="00E366BA" w:rsidRDefault="00E366BA" w:rsidP="00314BF2">
      <w:pPr>
        <w:pStyle w:val="ListParagraph"/>
        <w:rPr>
          <w:lang w:val="en-US"/>
        </w:rPr>
      </w:pPr>
    </w:p>
    <w:p w:rsidR="002730A2" w:rsidRDefault="00534CCA" w:rsidP="002730A2">
      <w:pPr>
        <w:pStyle w:val="ListParagraph"/>
        <w:numPr>
          <w:ilvl w:val="0"/>
          <w:numId w:val="3"/>
        </w:numPr>
        <w:rPr>
          <w:lang w:val="en-US"/>
        </w:rPr>
      </w:pPr>
      <w:r>
        <w:rPr>
          <w:lang w:val="en-US"/>
        </w:rPr>
        <w:t>Suppose a new drug (which has very similar effect</w:t>
      </w:r>
      <w:r w:rsidR="00E366BA">
        <w:rPr>
          <w:lang w:val="en-US"/>
        </w:rPr>
        <w:t>s</w:t>
      </w:r>
      <w:r>
        <w:rPr>
          <w:lang w:val="en-US"/>
        </w:rPr>
        <w:t xml:space="preserve"> as the existing drug on patent) has released. What do you expect with the answer of the previous question? Rewrite the model so that it reflects this change, and redo the calculation.</w:t>
      </w:r>
    </w:p>
    <w:p w:rsidR="00534CCA" w:rsidRDefault="00534CCA" w:rsidP="00534CCA">
      <w:pPr>
        <w:pStyle w:val="ListParagraph"/>
        <w:rPr>
          <w:lang w:val="en-US"/>
        </w:rPr>
      </w:pPr>
    </w:p>
    <w:p w:rsidR="00F47493" w:rsidRPr="00557D4E" w:rsidRDefault="00E366BA" w:rsidP="00534CCA">
      <w:pPr>
        <w:pStyle w:val="ListParagraph"/>
        <w:rPr>
          <w:color w:val="A6A6A6" w:themeColor="background1" w:themeShade="A6"/>
          <w:lang w:val="en-US"/>
        </w:rPr>
      </w:pPr>
      <w:r w:rsidRPr="00557D4E">
        <w:rPr>
          <w:color w:val="A6A6A6" w:themeColor="background1" w:themeShade="A6"/>
          <w:lang w:val="en-US"/>
        </w:rPr>
        <w:t xml:space="preserve">The new drug entering the market means that </w:t>
      </w:r>
      <w:r w:rsidR="005379D8" w:rsidRPr="00557D4E">
        <w:rPr>
          <w:color w:val="A6A6A6" w:themeColor="background1" w:themeShade="A6"/>
          <w:lang w:val="en-US"/>
        </w:rPr>
        <w:t>a new substitute is available. The demand elasticity of this existing drug increases (more elastic). This can be reflected in the demand function:</w:t>
      </w:r>
    </w:p>
    <w:p w:rsidR="005379D8" w:rsidRPr="00557D4E" w:rsidRDefault="005379D8" w:rsidP="00534CCA">
      <w:pPr>
        <w:pStyle w:val="ListParagraph"/>
        <w:rPr>
          <w:rFonts w:eastAsiaTheme="minorEastAsia"/>
          <w:color w:val="A6A6A6" w:themeColor="background1" w:themeShade="A6"/>
          <w:lang w:val="en-US"/>
        </w:rPr>
      </w:pPr>
      <m:oMathPara>
        <m:oMath>
          <m:r>
            <w:rPr>
              <w:rFonts w:ascii="Cambria Math" w:eastAsiaTheme="minorEastAsia" w:hAnsi="Cambria Math"/>
              <w:color w:val="A6A6A6" w:themeColor="background1" w:themeShade="A6"/>
              <w:lang w:val="en-US"/>
            </w:rPr>
            <m:t>1.5*</m:t>
          </m:r>
          <m:sSub>
            <m:sSubPr>
              <m:ctrlPr>
                <w:rPr>
                  <w:rFonts w:ascii="Cambria Math" w:eastAsiaTheme="minorEastAsia" w:hAnsi="Cambria Math"/>
                  <w:i/>
                  <w:color w:val="A6A6A6" w:themeColor="background1" w:themeShade="A6"/>
                  <w:lang w:val="en-US"/>
                </w:rPr>
              </m:ctrlPr>
            </m:sSubPr>
            <m:e>
              <m:sSub>
                <m:sSubPr>
                  <m:ctrlPr>
                    <w:rPr>
                      <w:rFonts w:ascii="Cambria Math" w:eastAsiaTheme="minorEastAsia" w:hAnsi="Cambria Math"/>
                      <w:i/>
                      <w:color w:val="A6A6A6" w:themeColor="background1" w:themeShade="A6"/>
                      <w:lang w:val="en-US"/>
                    </w:rPr>
                  </m:ctrlPr>
                </m:sSubPr>
                <m:e>
                  <m:r>
                    <w:rPr>
                      <w:rFonts w:ascii="Cambria Math" w:eastAsiaTheme="minorEastAsia" w:hAnsi="Cambria Math"/>
                      <w:color w:val="A6A6A6" w:themeColor="background1" w:themeShade="A6"/>
                      <w:lang w:val="en-US"/>
                    </w:rPr>
                    <m:t>ρ</m:t>
                  </m:r>
                </m:e>
                <m:sub>
                  <m:r>
                    <w:rPr>
                      <w:rFonts w:ascii="Cambria Math" w:eastAsiaTheme="minorEastAsia" w:hAnsi="Cambria Math"/>
                      <w:color w:val="A6A6A6" w:themeColor="background1" w:themeShade="A6"/>
                      <w:lang w:val="en-US"/>
                    </w:rPr>
                    <m:t>B1</m:t>
                  </m:r>
                </m:sub>
              </m:sSub>
              <m:r>
                <w:rPr>
                  <w:rFonts w:ascii="Cambria Math" w:eastAsiaTheme="minorEastAsia" w:hAnsi="Cambria Math"/>
                  <w:color w:val="A6A6A6" w:themeColor="background1" w:themeShade="A6"/>
                  <w:lang w:val="en-US"/>
                </w:rPr>
                <m:t>=100-d</m:t>
              </m:r>
            </m:e>
            <m:sub>
              <m:r>
                <w:rPr>
                  <w:rFonts w:ascii="Cambria Math" w:eastAsiaTheme="minorEastAsia" w:hAnsi="Cambria Math"/>
                  <w:color w:val="A6A6A6" w:themeColor="background1" w:themeShade="A6"/>
                  <w:lang w:val="en-US"/>
                </w:rPr>
                <m:t>B1</m:t>
              </m:r>
            </m:sub>
          </m:sSub>
        </m:oMath>
      </m:oMathPara>
    </w:p>
    <w:p w:rsidR="005379D8" w:rsidRPr="00557D4E" w:rsidRDefault="005379D8" w:rsidP="00534CCA">
      <w:pPr>
        <w:pStyle w:val="ListParagraph"/>
        <w:rPr>
          <w:color w:val="A6A6A6" w:themeColor="background1" w:themeShade="A6"/>
          <w:lang w:val="en-US"/>
        </w:rPr>
      </w:pPr>
      <w:r w:rsidRPr="00557D4E">
        <w:rPr>
          <w:color w:val="A6A6A6" w:themeColor="background1" w:themeShade="A6"/>
          <w:lang w:val="en-US"/>
        </w:rPr>
        <w:t>We know that this will mean the patent is less valuable because M1 is facing more competition from similar products.</w:t>
      </w:r>
    </w:p>
    <w:p w:rsidR="005379D8" w:rsidRPr="00557D4E" w:rsidRDefault="005379D8" w:rsidP="00534CCA">
      <w:pPr>
        <w:pStyle w:val="ListParagraph"/>
        <w:rPr>
          <w:color w:val="A6A6A6" w:themeColor="background1" w:themeShade="A6"/>
          <w:lang w:val="en-US"/>
        </w:rPr>
      </w:pPr>
      <w:r w:rsidRPr="00557D4E">
        <w:rPr>
          <w:color w:val="A6A6A6" w:themeColor="background1" w:themeShade="A6"/>
          <w:lang w:val="en-US"/>
        </w:rPr>
        <w:t>(Note: compare the profits with the new demand function, not the old one as the base)</w:t>
      </w:r>
    </w:p>
    <w:p w:rsidR="005379D8" w:rsidRPr="00557D4E" w:rsidRDefault="005379D8" w:rsidP="00534CCA">
      <w:pPr>
        <w:pStyle w:val="ListParagraph"/>
        <w:rPr>
          <w:color w:val="A6A6A6" w:themeColor="background1" w:themeShade="A6"/>
          <w:lang w:val="en-US"/>
        </w:rPr>
      </w:pPr>
      <w:r w:rsidRPr="00557D4E">
        <w:rPr>
          <w:color w:val="A6A6A6" w:themeColor="background1" w:themeShade="A6"/>
          <w:lang w:val="en-US"/>
        </w:rPr>
        <w:t>Profits with patent = 127.006</w:t>
      </w:r>
    </w:p>
    <w:p w:rsidR="005379D8" w:rsidRPr="00557D4E" w:rsidRDefault="005379D8" w:rsidP="00534CCA">
      <w:pPr>
        <w:pStyle w:val="ListParagraph"/>
        <w:rPr>
          <w:color w:val="A6A6A6" w:themeColor="background1" w:themeShade="A6"/>
          <w:lang w:val="en-US"/>
        </w:rPr>
      </w:pPr>
      <w:r w:rsidRPr="00557D4E">
        <w:rPr>
          <w:color w:val="A6A6A6" w:themeColor="background1" w:themeShade="A6"/>
          <w:lang w:val="en-US"/>
        </w:rPr>
        <w:t>Profits without patent =</w:t>
      </w:r>
      <w:r w:rsidR="00CB1A47" w:rsidRPr="00557D4E">
        <w:rPr>
          <w:color w:val="A6A6A6" w:themeColor="background1" w:themeShade="A6"/>
          <w:lang w:val="en-US"/>
        </w:rPr>
        <w:t>60.614</w:t>
      </w:r>
    </w:p>
    <w:sectPr w:rsidR="005379D8" w:rsidRPr="00557D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5476"/>
    <w:multiLevelType w:val="hybridMultilevel"/>
    <w:tmpl w:val="F3F0E054"/>
    <w:lvl w:ilvl="0" w:tplc="9F90C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83FE3"/>
    <w:multiLevelType w:val="hybridMultilevel"/>
    <w:tmpl w:val="A9F8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71CD3"/>
    <w:multiLevelType w:val="hybridMultilevel"/>
    <w:tmpl w:val="D572F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C65E4"/>
    <w:multiLevelType w:val="hybridMultilevel"/>
    <w:tmpl w:val="7182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A9A"/>
    <w:rsid w:val="000B17EC"/>
    <w:rsid w:val="000C764D"/>
    <w:rsid w:val="0014475C"/>
    <w:rsid w:val="001A2790"/>
    <w:rsid w:val="002730A2"/>
    <w:rsid w:val="00314BF2"/>
    <w:rsid w:val="00326776"/>
    <w:rsid w:val="0036365B"/>
    <w:rsid w:val="003756DF"/>
    <w:rsid w:val="003F03B2"/>
    <w:rsid w:val="00400640"/>
    <w:rsid w:val="00400A9A"/>
    <w:rsid w:val="00426B84"/>
    <w:rsid w:val="004C3458"/>
    <w:rsid w:val="004E2487"/>
    <w:rsid w:val="0051396E"/>
    <w:rsid w:val="00534CCA"/>
    <w:rsid w:val="005379D8"/>
    <w:rsid w:val="00557D4E"/>
    <w:rsid w:val="005D5B12"/>
    <w:rsid w:val="006A5099"/>
    <w:rsid w:val="006B1FB5"/>
    <w:rsid w:val="006F39FF"/>
    <w:rsid w:val="00806B7C"/>
    <w:rsid w:val="00850279"/>
    <w:rsid w:val="008A323F"/>
    <w:rsid w:val="00947D05"/>
    <w:rsid w:val="009A74CC"/>
    <w:rsid w:val="009F6195"/>
    <w:rsid w:val="00A346B7"/>
    <w:rsid w:val="00A441B7"/>
    <w:rsid w:val="00AD60AD"/>
    <w:rsid w:val="00B03512"/>
    <w:rsid w:val="00B1225A"/>
    <w:rsid w:val="00B5518C"/>
    <w:rsid w:val="00C57341"/>
    <w:rsid w:val="00CB1A47"/>
    <w:rsid w:val="00D54CA8"/>
    <w:rsid w:val="00D93450"/>
    <w:rsid w:val="00E366BA"/>
    <w:rsid w:val="00E91EA7"/>
    <w:rsid w:val="00F47493"/>
    <w:rsid w:val="00FD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9369"/>
  <w15:chartTrackingRefBased/>
  <w15:docId w15:val="{365881C4-01C4-4EBD-BCAB-11D298BC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99"/>
    <w:pPr>
      <w:ind w:left="720"/>
      <w:contextualSpacing/>
    </w:pPr>
    <w:rPr>
      <w:lang w:val="nl-BE"/>
    </w:rPr>
  </w:style>
  <w:style w:type="character" w:styleId="PlaceholderText">
    <w:name w:val="Placeholder Text"/>
    <w:basedOn w:val="DefaultParagraphFont"/>
    <w:uiPriority w:val="99"/>
    <w:semiHidden/>
    <w:rsid w:val="00947D05"/>
    <w:rPr>
      <w:color w:val="808080"/>
    </w:rPr>
  </w:style>
  <w:style w:type="table" w:styleId="TableGrid">
    <w:name w:val="Table Grid"/>
    <w:basedOn w:val="TableNormal"/>
    <w:uiPriority w:val="39"/>
    <w:rsid w:val="001A2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KU Leuven FEB</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Man Fung</dc:creator>
  <cp:keywords/>
  <dc:description/>
  <cp:lastModifiedBy>Chau Man Fung</cp:lastModifiedBy>
  <cp:revision>6</cp:revision>
  <dcterms:created xsi:type="dcterms:W3CDTF">2019-04-23T15:45:00Z</dcterms:created>
  <dcterms:modified xsi:type="dcterms:W3CDTF">2019-04-24T16:10:00Z</dcterms:modified>
</cp:coreProperties>
</file>