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281" w:rsidRPr="005F1A90" w:rsidRDefault="00AD60AD" w:rsidP="007074AE">
      <w:pPr>
        <w:rPr>
          <w:color w:val="A6A6A6" w:themeColor="background1" w:themeShade="A6"/>
        </w:rPr>
      </w:pPr>
      <w:r w:rsidRPr="005F1A90">
        <w:rPr>
          <w:color w:val="A6A6A6" w:themeColor="background1" w:themeShade="A6"/>
        </w:rPr>
        <w:t>[</w:t>
      </w:r>
      <w:r w:rsidR="00E56281" w:rsidRPr="005F1A90">
        <w:rPr>
          <w:color w:val="A6A6A6" w:themeColor="background1" w:themeShade="A6"/>
        </w:rPr>
        <w:t>relocation of wholesale area</w:t>
      </w:r>
      <w:r w:rsidR="00FA7A19" w:rsidRPr="005F1A90">
        <w:rPr>
          <w:color w:val="A6A6A6" w:themeColor="background1" w:themeShade="A6"/>
        </w:rPr>
        <w:t>: class</w:t>
      </w:r>
      <w:r w:rsidR="00945E9A" w:rsidRPr="005F1A90">
        <w:rPr>
          <w:color w:val="A6A6A6" w:themeColor="background1" w:themeShade="A6"/>
        </w:rPr>
        <w:t>2</w:t>
      </w:r>
      <w:r w:rsidR="00183B18" w:rsidRPr="005F1A90">
        <w:rPr>
          <w:color w:val="A6A6A6" w:themeColor="background1" w:themeShade="A6"/>
        </w:rPr>
        <w:t>41, class24</w:t>
      </w:r>
      <w:r w:rsidR="00945E9A" w:rsidRPr="005F1A90">
        <w:rPr>
          <w:color w:val="A6A6A6" w:themeColor="background1" w:themeShade="A6"/>
        </w:rPr>
        <w:t>1b</w:t>
      </w:r>
      <w:r w:rsidR="007A643F" w:rsidRPr="005F1A90">
        <w:rPr>
          <w:color w:val="A6A6A6" w:themeColor="background1" w:themeShade="A6"/>
        </w:rPr>
        <w:t xml:space="preserve">; inspired by: </w:t>
      </w:r>
      <w:hyperlink r:id="rId5" w:history="1">
        <w:r w:rsidR="007A643F" w:rsidRPr="005F1A90">
          <w:rPr>
            <w:rStyle w:val="Hyperlink"/>
            <w:color w:val="A6A6A6" w:themeColor="background1" w:themeShade="A6"/>
          </w:rPr>
          <w:t>http://www.chinadaily.com.cn/china/2016-12/18/content_27702588.htm</w:t>
        </w:r>
      </w:hyperlink>
      <w:r w:rsidRPr="005F1A90">
        <w:rPr>
          <w:color w:val="A6A6A6" w:themeColor="background1" w:themeShade="A6"/>
        </w:rPr>
        <w:t>]</w:t>
      </w:r>
    </w:p>
    <w:p w:rsidR="00D35B05" w:rsidRDefault="00E31D46">
      <w:r>
        <w:t>I</w:t>
      </w:r>
      <w:r w:rsidR="00C37791">
        <w:t>t is common for wholesale</w:t>
      </w:r>
      <w:r w:rsidR="007074AE">
        <w:t xml:space="preserve"> outlet</w:t>
      </w:r>
      <w:r w:rsidR="00C37791">
        <w:t xml:space="preserve">s of certain </w:t>
      </w:r>
      <w:r w:rsidR="007074AE">
        <w:t xml:space="preserve">consumer </w:t>
      </w:r>
      <w:r w:rsidR="00C37791">
        <w:t xml:space="preserve">products </w:t>
      </w:r>
      <w:r w:rsidR="007074AE">
        <w:t xml:space="preserve">(e.g. clothing, toys) </w:t>
      </w:r>
      <w:r w:rsidR="00C37791">
        <w:t>to concentrate in an area (a street or a mall)</w:t>
      </w:r>
      <w:r w:rsidR="007074AE">
        <w:t xml:space="preserve"> in the city center</w:t>
      </w:r>
      <w:r w:rsidR="00C37791">
        <w:t xml:space="preserve"> for agglomeration economies. </w:t>
      </w:r>
      <w:r w:rsidR="007074AE">
        <w:t xml:space="preserve">These wholesale outlets are operated by the manufacturers, and consumers can buy from these wholesale outlets directly. </w:t>
      </w:r>
    </w:p>
    <w:p w:rsidR="00F736C9" w:rsidRDefault="007074AE">
      <w:r>
        <w:t>Consider this</w:t>
      </w:r>
      <w:r w:rsidR="00400A9A">
        <w:t xml:space="preserve"> supply ch</w:t>
      </w:r>
      <w:bookmarkStart w:id="0" w:name="_GoBack"/>
      <w:bookmarkEnd w:id="0"/>
      <w:r w:rsidR="00400A9A">
        <w:t>ain</w:t>
      </w:r>
      <w:r w:rsidR="00692A04">
        <w:t>, which</w:t>
      </w:r>
      <w:r w:rsidR="00400A9A">
        <w:t xml:space="preserve"> consists of </w:t>
      </w:r>
      <w:r w:rsidR="00692A04">
        <w:t>two</w:t>
      </w:r>
      <w:r w:rsidR="006B1FB5">
        <w:t xml:space="preserve"> </w:t>
      </w:r>
      <w:r w:rsidR="00400A9A">
        <w:t>manufacturer</w:t>
      </w:r>
      <w:r w:rsidR="00692A04">
        <w:t>s</w:t>
      </w:r>
      <w:r w:rsidR="00400A9A">
        <w:t xml:space="preserve"> M1</w:t>
      </w:r>
      <w:r w:rsidR="00692A04">
        <w:t xml:space="preserve"> and M2</w:t>
      </w:r>
      <w:r w:rsidR="00FA7A19">
        <w:t>, two</w:t>
      </w:r>
      <w:r w:rsidR="00400A9A">
        <w:t xml:space="preserve"> retai</w:t>
      </w:r>
      <w:r w:rsidR="00FD7D72">
        <w:t xml:space="preserve">lers R1 and R2 and </w:t>
      </w:r>
      <w:r w:rsidR="00C57341">
        <w:t>one market B1</w:t>
      </w:r>
      <w:r w:rsidR="00FD7D72">
        <w:t xml:space="preserve">. </w:t>
      </w:r>
    </w:p>
    <w:p w:rsidR="006A5099" w:rsidRDefault="0036365B" w:rsidP="006A5099">
      <w:pPr>
        <w:pStyle w:val="ListParagraph"/>
        <w:numPr>
          <w:ilvl w:val="0"/>
          <w:numId w:val="1"/>
        </w:numPr>
        <w:rPr>
          <w:lang w:val="en-US"/>
        </w:rPr>
      </w:pPr>
      <w:r>
        <w:rPr>
          <w:lang w:val="en-US"/>
        </w:rPr>
        <w:t>The m</w:t>
      </w:r>
      <w:r w:rsidR="006A5099">
        <w:rPr>
          <w:lang w:val="en-US"/>
        </w:rPr>
        <w:t>anufacturer</w:t>
      </w:r>
      <w:r>
        <w:rPr>
          <w:lang w:val="en-US"/>
        </w:rPr>
        <w:t>s</w:t>
      </w:r>
      <w:r w:rsidR="006A5099">
        <w:rPr>
          <w:lang w:val="en-US"/>
        </w:rPr>
        <w:t xml:space="preserve"> face production costs:</w:t>
      </w:r>
    </w:p>
    <w:p w:rsidR="006A5099" w:rsidRPr="00692A04" w:rsidRDefault="004B5629" w:rsidP="006A5099">
      <w:pPr>
        <w:pStyle w:val="ListParagraph"/>
        <w:rPr>
          <w:rFonts w:eastAsiaTheme="minorEastAsia"/>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M1</m:t>
              </m:r>
            </m:sub>
          </m:sSub>
          <m:r>
            <w:rPr>
              <w:rFonts w:ascii="Cambria Math" w:hAnsi="Cambria Math"/>
              <w:lang w:val="en-US"/>
            </w:rPr>
            <m:t>=2+2</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M1</m:t>
              </m:r>
            </m:sub>
            <m:sup>
              <m:r>
                <w:rPr>
                  <w:rFonts w:ascii="Cambria Math" w:hAnsi="Cambria Math"/>
                  <w:lang w:val="en-US"/>
                </w:rPr>
                <m:t>2</m:t>
              </m:r>
            </m:sup>
          </m:sSubSup>
        </m:oMath>
      </m:oMathPara>
    </w:p>
    <w:p w:rsidR="00692A04" w:rsidRPr="0036365B" w:rsidRDefault="004B5629" w:rsidP="006A5099">
      <w:pPr>
        <w:pStyle w:val="ListParagraph"/>
        <w:rPr>
          <w:rFonts w:eastAsiaTheme="minorEastAsia"/>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M2</m:t>
              </m:r>
            </m:sub>
          </m:sSub>
          <m:r>
            <w:rPr>
              <w:rFonts w:ascii="Cambria Math" w:hAnsi="Cambria Math"/>
              <w:lang w:val="en-US"/>
            </w:rPr>
            <m:t>=2+2</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M2</m:t>
              </m:r>
            </m:sub>
            <m:sup>
              <m:r>
                <w:rPr>
                  <w:rFonts w:ascii="Cambria Math" w:hAnsi="Cambria Math"/>
                  <w:lang w:val="en-US"/>
                </w:rPr>
                <m:t>2</m:t>
              </m:r>
            </m:sup>
          </m:sSubSup>
        </m:oMath>
      </m:oMathPara>
    </w:p>
    <w:p w:rsidR="0036365B" w:rsidRPr="009A74CC" w:rsidRDefault="0036365B" w:rsidP="006A5099">
      <w:pPr>
        <w:pStyle w:val="ListParagraph"/>
        <w:rPr>
          <w:rFonts w:eastAsiaTheme="minorEastAsia"/>
          <w:lang w:val="en-US"/>
        </w:rPr>
      </w:pPr>
    </w:p>
    <w:p w:rsidR="009A74CC" w:rsidRPr="004E3ABC" w:rsidRDefault="009A74CC" w:rsidP="004E3ABC">
      <w:pPr>
        <w:pStyle w:val="ListParagraph"/>
        <w:numPr>
          <w:ilvl w:val="0"/>
          <w:numId w:val="1"/>
        </w:numPr>
        <w:rPr>
          <w:lang w:val="en-US"/>
        </w:rPr>
      </w:pPr>
      <w:r>
        <w:rPr>
          <w:rFonts w:eastAsiaTheme="minorEastAsia"/>
          <w:lang w:val="en-US"/>
        </w:rPr>
        <w:t>The manufacturer</w:t>
      </w:r>
      <w:r w:rsidR="00692A04">
        <w:rPr>
          <w:rFonts w:eastAsiaTheme="minorEastAsia"/>
          <w:lang w:val="en-US"/>
        </w:rPr>
        <w:t>s</w:t>
      </w:r>
      <w:r>
        <w:rPr>
          <w:rFonts w:eastAsiaTheme="minorEastAsia"/>
          <w:lang w:val="en-US"/>
        </w:rPr>
        <w:t xml:space="preserve"> also face </w:t>
      </w:r>
      <w:r w:rsidR="00DF272F">
        <w:rPr>
          <w:rFonts w:eastAsiaTheme="minorEastAsia"/>
          <w:lang w:val="en-US"/>
        </w:rPr>
        <w:t>a</w:t>
      </w:r>
      <w:r w:rsidR="004E3ABC">
        <w:rPr>
          <w:rFonts w:eastAsiaTheme="minorEastAsia"/>
          <w:lang w:val="en-US"/>
        </w:rPr>
        <w:t xml:space="preserve"> (total)</w:t>
      </w:r>
      <w:r>
        <w:rPr>
          <w:rFonts w:eastAsiaTheme="minorEastAsia"/>
          <w:lang w:val="en-US"/>
        </w:rPr>
        <w:t xml:space="preserve"> transaction costs</w:t>
      </w:r>
      <w:r w:rsidR="00C3367F">
        <w:rPr>
          <w:rFonts w:eastAsiaTheme="minorEastAsia"/>
          <w:lang w:val="en-US"/>
        </w:rPr>
        <w:t xml:space="preserve"> when</w:t>
      </w:r>
      <w:r w:rsidR="004E3ABC">
        <w:rPr>
          <w:rFonts w:eastAsiaTheme="minorEastAsia"/>
          <w:lang w:val="en-US"/>
        </w:rPr>
        <w:t xml:space="preserve"> </w:t>
      </w:r>
      <w:r w:rsidR="00692A04">
        <w:rPr>
          <w:rFonts w:eastAsiaTheme="minorEastAsia"/>
          <w:lang w:val="en-US"/>
        </w:rPr>
        <w:t>selling to retailers</w:t>
      </w:r>
      <w:r w:rsidR="00DF272F">
        <w:rPr>
          <w:rFonts w:eastAsiaTheme="minorEastAsia"/>
          <w:lang w:val="en-US"/>
        </w:rPr>
        <w:t xml:space="preserve">. With the existing wholesale outlet, there is no extra cost incurred in </w:t>
      </w:r>
      <w:r w:rsidR="004E3ABC">
        <w:rPr>
          <w:lang w:val="en-US"/>
        </w:rPr>
        <w:t>sell</w:t>
      </w:r>
      <w:r w:rsidR="00FA7A19">
        <w:rPr>
          <w:lang w:val="en-US"/>
        </w:rPr>
        <w:t>ing</w:t>
      </w:r>
      <w:r w:rsidR="004E3ABC">
        <w:rPr>
          <w:lang w:val="en-US"/>
        </w:rPr>
        <w:t xml:space="preserve"> to the consumers directly</w:t>
      </w:r>
      <w:r w:rsidR="00C3367F">
        <w:rPr>
          <w:lang w:val="en-US"/>
        </w:rPr>
        <w:t>:</w:t>
      </w:r>
      <w:r w:rsidR="00FA7A19">
        <w:rPr>
          <w:lang w:val="en-US"/>
        </w:rPr>
        <w:t xml:space="preserve"> </w:t>
      </w:r>
    </w:p>
    <w:p w:rsidR="009A74CC" w:rsidRPr="009A74CC" w:rsidRDefault="004B5629" w:rsidP="009A74CC">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M1R1</m:t>
              </m:r>
            </m:sub>
          </m:sSub>
          <m:r>
            <w:rPr>
              <w:rFonts w:ascii="Cambria Math" w:hAnsi="Cambria Math"/>
            </w:rPr>
            <m:t>=5</m:t>
          </m:r>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M1R1</m:t>
              </m:r>
            </m:sub>
          </m:sSub>
        </m:oMath>
      </m:oMathPara>
    </w:p>
    <w:p w:rsidR="009A74CC" w:rsidRPr="004E3ABC" w:rsidRDefault="004B5629" w:rsidP="009A74CC">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M1R2</m:t>
              </m:r>
            </m:sub>
          </m:sSub>
          <m:r>
            <w:rPr>
              <w:rFonts w:ascii="Cambria Math" w:hAnsi="Cambria Math"/>
            </w:rPr>
            <m:t>=5</m:t>
          </m:r>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M1R2</m:t>
              </m:r>
            </m:sub>
          </m:sSub>
        </m:oMath>
      </m:oMathPara>
    </w:p>
    <w:p w:rsidR="004E3ABC" w:rsidRPr="009A74CC" w:rsidRDefault="004B5629" w:rsidP="004E3ABC">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M2R1</m:t>
              </m:r>
            </m:sub>
          </m:sSub>
          <m:r>
            <w:rPr>
              <w:rFonts w:ascii="Cambria Math" w:hAnsi="Cambria Math"/>
            </w:rPr>
            <m:t>=5</m:t>
          </m:r>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M2R1</m:t>
              </m:r>
            </m:sub>
          </m:sSub>
        </m:oMath>
      </m:oMathPara>
    </w:p>
    <w:p w:rsidR="004E3ABC" w:rsidRPr="009A74CC" w:rsidRDefault="004B5629" w:rsidP="004E3ABC">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M2R2</m:t>
              </m:r>
            </m:sub>
          </m:sSub>
          <m:r>
            <w:rPr>
              <w:rFonts w:ascii="Cambria Math" w:hAnsi="Cambria Math"/>
            </w:rPr>
            <m:t>=5</m:t>
          </m:r>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M2R2</m:t>
              </m:r>
            </m:sub>
          </m:sSub>
        </m:oMath>
      </m:oMathPara>
    </w:p>
    <w:p w:rsidR="006A5099" w:rsidRPr="005E2FCD" w:rsidRDefault="00692A04" w:rsidP="006A5099">
      <w:pPr>
        <w:pStyle w:val="ListParagraph"/>
        <w:numPr>
          <w:ilvl w:val="0"/>
          <w:numId w:val="1"/>
        </w:numPr>
        <w:rPr>
          <w:lang w:val="en-US"/>
        </w:rPr>
      </w:pPr>
      <w:r>
        <w:rPr>
          <w:lang w:val="en-US"/>
        </w:rPr>
        <w:t>F</w:t>
      </w:r>
      <w:r w:rsidR="00806B7C">
        <w:rPr>
          <w:lang w:val="en-US"/>
        </w:rPr>
        <w:t>or each unit of product purchased from the manufacturers, t</w:t>
      </w:r>
      <w:r w:rsidR="006A5099" w:rsidRPr="005E2FCD">
        <w:rPr>
          <w:lang w:val="en-US"/>
        </w:rPr>
        <w:t xml:space="preserve">he </w:t>
      </w:r>
      <w:r w:rsidR="006A5099">
        <w:rPr>
          <w:lang w:val="en-US"/>
        </w:rPr>
        <w:t xml:space="preserve">retailers </w:t>
      </w:r>
      <w:r w:rsidR="00806B7C">
        <w:rPr>
          <w:lang w:val="en-US"/>
        </w:rPr>
        <w:t>face handling costs of</w:t>
      </w:r>
      <w:r w:rsidR="006A5099">
        <w:rPr>
          <w:lang w:val="en-US"/>
        </w:rPr>
        <w:br/>
      </w: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R1</m:t>
              </m:r>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M1R1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M2R1</m:t>
              </m:r>
            </m:sub>
          </m:sSub>
          <m:r>
            <w:rPr>
              <w:rFonts w:ascii="Cambria Math" w:hAnsi="Cambria Math"/>
              <w:lang w:val="en-US"/>
            </w:rPr>
            <m:t>)</m:t>
          </m:r>
        </m:oMath>
      </m:oMathPara>
    </w:p>
    <w:p w:rsidR="004E2487" w:rsidRPr="004E2487" w:rsidRDefault="004B5629" w:rsidP="000C764D">
      <w:pPr>
        <w:pStyle w:val="ListParagraph"/>
        <w:rPr>
          <w:rFonts w:eastAsiaTheme="minorEastAsia"/>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R2</m:t>
              </m:r>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M1R2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M2R2</m:t>
              </m:r>
            </m:sub>
          </m:sSub>
          <m:r>
            <m:rPr>
              <m:sty m:val="p"/>
            </m:rPr>
            <w:rPr>
              <w:rFonts w:ascii="Cambria Math"/>
              <w:lang w:val="en-US"/>
            </w:rPr>
            <m:t>)</m:t>
          </m:r>
        </m:oMath>
      </m:oMathPara>
    </w:p>
    <w:p w:rsidR="006A5099" w:rsidRPr="00426B84" w:rsidRDefault="004E2487" w:rsidP="004E2487">
      <w:pPr>
        <w:pStyle w:val="ListParagraph"/>
        <w:numPr>
          <w:ilvl w:val="0"/>
          <w:numId w:val="1"/>
        </w:numPr>
        <w:rPr>
          <w:rFonts w:eastAsiaTheme="minorEastAsia"/>
          <w:lang w:val="en-US"/>
        </w:rPr>
      </w:pPr>
      <w:r>
        <w:rPr>
          <w:lang w:val="en-US"/>
        </w:rPr>
        <w:t xml:space="preserve">Transaction costs </w:t>
      </w:r>
      <w:r w:rsidR="00426B84">
        <w:rPr>
          <w:lang w:val="en-US"/>
        </w:rPr>
        <w:t xml:space="preserve">(per unit) </w:t>
      </w:r>
      <w:r>
        <w:rPr>
          <w:lang w:val="en-US"/>
        </w:rPr>
        <w:t xml:space="preserve">are incurred between the retailers and </w:t>
      </w:r>
      <w:r w:rsidR="00C57341">
        <w:rPr>
          <w:lang w:val="en-US"/>
        </w:rPr>
        <w:t>the market</w:t>
      </w:r>
      <w:r w:rsidR="004E3ABC">
        <w:rPr>
          <w:lang w:val="en-US"/>
        </w:rPr>
        <w:t xml:space="preserve"> (consumers)</w:t>
      </w:r>
      <w:r w:rsidR="00C57341">
        <w:rPr>
          <w:lang w:val="en-US"/>
        </w:rPr>
        <w:t>:</w:t>
      </w:r>
      <w:r w:rsidR="006A5099">
        <w:rPr>
          <w:lang w:val="en-US"/>
        </w:rPr>
        <w:br/>
      </w: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R1B1</m:t>
              </m:r>
            </m:sub>
          </m:sSub>
          <m:r>
            <w:rPr>
              <w:rFonts w:ascii="Cambria Math" w:hAnsi="Cambria Math"/>
              <w:lang w:val="en-US"/>
            </w:rPr>
            <m:t>=2</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R1B1</m:t>
              </m:r>
            </m:sub>
            <m:sup/>
          </m:sSubSup>
          <m:r>
            <w:rPr>
              <w:rFonts w:ascii="Cambria Math" w:hAnsi="Cambria Math"/>
              <w:lang w:val="en-US"/>
            </w:rPr>
            <m:t>+1</m:t>
          </m:r>
        </m:oMath>
      </m:oMathPara>
    </w:p>
    <w:p w:rsidR="00426B84" w:rsidRPr="00426B84" w:rsidRDefault="004B5629" w:rsidP="00426B84">
      <w:pPr>
        <w:ind w:left="360"/>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R2B1</m:t>
              </m:r>
            </m:sub>
          </m:sSub>
          <m:r>
            <w:rPr>
              <w:rFonts w:ascii="Cambria Math" w:hAnsi="Cambria Math"/>
            </w:rPr>
            <m:t>=2</m:t>
          </m:r>
          <m:sSubSup>
            <m:sSubSupPr>
              <m:ctrlPr>
                <w:rPr>
                  <w:rFonts w:ascii="Cambria Math" w:hAnsi="Cambria Math"/>
                  <w:i/>
                </w:rPr>
              </m:ctrlPr>
            </m:sSubSupPr>
            <m:e>
              <m:r>
                <w:rPr>
                  <w:rFonts w:ascii="Cambria Math" w:hAnsi="Cambria Math"/>
                </w:rPr>
                <m:t>q</m:t>
              </m:r>
            </m:e>
            <m:sub>
              <m:r>
                <w:rPr>
                  <w:rFonts w:ascii="Cambria Math" w:hAnsi="Cambria Math"/>
                </w:rPr>
                <m:t>R2B1</m:t>
              </m:r>
            </m:sub>
            <m:sup/>
          </m:sSubSup>
          <m:r>
            <w:rPr>
              <w:rFonts w:ascii="Cambria Math" w:hAnsi="Cambria Math"/>
            </w:rPr>
            <m:t>+1</m:t>
          </m:r>
        </m:oMath>
      </m:oMathPara>
    </w:p>
    <w:p w:rsidR="00947D05" w:rsidRDefault="006A5099" w:rsidP="00D93450">
      <w:pPr>
        <w:ind w:left="720"/>
        <w:rPr>
          <w:rFonts w:eastAsiaTheme="minorEastAsia"/>
        </w:rPr>
      </w:pPr>
      <w:r w:rsidRPr="00D93450">
        <w:t xml:space="preserve">The total cost </w:t>
      </w:r>
      <m:oMath>
        <m:sSub>
          <m:sSubPr>
            <m:ctrlPr>
              <w:rPr>
                <w:rFonts w:ascii="Cambria Math" w:hAnsi="Cambria Math"/>
                <w:i/>
              </w:rPr>
            </m:ctrlPr>
          </m:sSubPr>
          <m:e>
            <m:r>
              <w:rPr>
                <w:rFonts w:ascii="Cambria Math" w:hAnsi="Cambria Math"/>
              </w:rPr>
              <m:t>ρ</m:t>
            </m:r>
          </m:e>
          <m:sub>
            <m:r>
              <w:rPr>
                <w:rFonts w:ascii="Cambria Math" w:hAnsi="Cambria Math"/>
              </w:rPr>
              <m:t>B1</m:t>
            </m:r>
          </m:sub>
        </m:sSub>
      </m:oMath>
      <w:r w:rsidRPr="00D93450">
        <w:rPr>
          <w:rFonts w:eastAsiaTheme="minorEastAsia"/>
        </w:rPr>
        <w:t xml:space="preserve"> </w:t>
      </w:r>
      <w:r w:rsidRPr="00D93450">
        <w:t xml:space="preserve">perceived by </w:t>
      </w:r>
      <w:r w:rsidR="00DF272F">
        <w:t>the consumers</w:t>
      </w:r>
      <w:r w:rsidRPr="00D93450">
        <w:t xml:space="preserve"> </w:t>
      </w:r>
      <w:proofErr w:type="spellStart"/>
      <w:r w:rsidR="00947D05" w:rsidRPr="00D93450">
        <w:t>in</w:t>
      </w:r>
      <w:proofErr w:type="spellEnd"/>
      <w:r w:rsidR="00947D05" w:rsidRPr="00D93450">
        <w:t xml:space="preserve"> market </w:t>
      </w:r>
      <m:oMath>
        <m:r>
          <w:rPr>
            <w:rFonts w:ascii="Cambria Math" w:hAnsi="Cambria Math"/>
          </w:rPr>
          <m:t xml:space="preserve">1 </m:t>
        </m:r>
      </m:oMath>
      <w:r w:rsidRPr="00D93450">
        <w:t xml:space="preserve">consists of the retail price </w:t>
      </w:r>
      <m:oMath>
        <m:sSub>
          <m:sSubPr>
            <m:ctrlPr>
              <w:rPr>
                <w:rFonts w:ascii="Cambria Math" w:hAnsi="Cambria Math"/>
                <w:i/>
              </w:rPr>
            </m:ctrlPr>
          </m:sSubPr>
          <m:e>
            <m:r>
              <w:rPr>
                <w:rFonts w:ascii="Cambria Math" w:hAnsi="Cambria Math"/>
              </w:rPr>
              <m:t>ρ</m:t>
            </m:r>
          </m:e>
          <m:sub>
            <m:r>
              <w:rPr>
                <w:rFonts w:ascii="Cambria Math" w:hAnsi="Cambria Math"/>
              </w:rPr>
              <m:t>Rj</m:t>
            </m:r>
          </m:sub>
        </m:sSub>
      </m:oMath>
      <w:r w:rsidR="00D93450" w:rsidRPr="00D93450">
        <w:rPr>
          <w:rFonts w:eastAsiaTheme="minorEastAsia"/>
        </w:rPr>
        <w:t xml:space="preserve"> </w:t>
      </w:r>
      <w:r w:rsidR="00C3367F">
        <w:rPr>
          <w:rFonts w:eastAsiaTheme="minorEastAsia"/>
        </w:rPr>
        <w:t>and the</w:t>
      </w:r>
      <w:r w:rsidRPr="00D93450">
        <w:rPr>
          <w:rFonts w:eastAsiaTheme="minorEastAsia"/>
        </w:rPr>
        <w:t xml:space="preserve"> </w:t>
      </w:r>
      <w:r w:rsidR="00D93450" w:rsidRPr="00D93450">
        <w:rPr>
          <w:rFonts w:eastAsiaTheme="minorEastAsia"/>
        </w:rPr>
        <w:t>transaction cost</w:t>
      </w:r>
      <w:r w:rsidRPr="00D93450">
        <w:rPr>
          <w:rFonts w:eastAsiaTheme="minorEastAsia"/>
        </w:rPr>
        <w:t xml:space="preserve"> for going to the retailer </w:t>
      </w:r>
      <m:oMath>
        <m:r>
          <w:rPr>
            <w:rFonts w:ascii="Cambria Math" w:hAnsi="Cambria Math"/>
          </w:rPr>
          <m:t xml:space="preserve">j </m:t>
        </m:r>
      </m:oMath>
      <w:r w:rsidRPr="00D93450">
        <w:rPr>
          <w:rFonts w:eastAsiaTheme="minorEastAsia"/>
        </w:rPr>
        <w:t xml:space="preserve">and </w:t>
      </w:r>
      <w:r w:rsidR="00C3367F">
        <w:rPr>
          <w:rFonts w:eastAsiaTheme="minorEastAsia"/>
        </w:rPr>
        <w:t>buying</w:t>
      </w:r>
      <w:r w:rsidRPr="00D93450">
        <w:rPr>
          <w:rFonts w:eastAsiaTheme="minorEastAsia"/>
        </w:rPr>
        <w:t xml:space="preserve"> the</w:t>
      </w:r>
      <w:r w:rsidR="004E3ABC">
        <w:rPr>
          <w:rFonts w:eastAsiaTheme="minorEastAsia"/>
        </w:rPr>
        <w:t xml:space="preserve"> product</w:t>
      </w:r>
      <w:r w:rsidRPr="00D93450">
        <w:rPr>
          <w:rFonts w:eastAsiaTheme="minorEastAsia"/>
        </w:rPr>
        <w:t xml:space="preserve"> there</w:t>
      </w:r>
      <w:r w:rsidR="00D93450" w:rsidRPr="00D93450">
        <w:rPr>
          <w:rFonts w:eastAsiaTheme="minorEastAsia"/>
        </w:rPr>
        <w:t>.</w:t>
      </w:r>
      <w:r w:rsidRPr="00D93450">
        <w:rPr>
          <w:rFonts w:eastAsiaTheme="minorEastAsia"/>
        </w:rPr>
        <w:t xml:space="preserve"> </w:t>
      </w:r>
    </w:p>
    <w:p w:rsidR="004E3ABC" w:rsidRPr="00426B84" w:rsidRDefault="004E3ABC" w:rsidP="004E3ABC">
      <w:pPr>
        <w:pStyle w:val="ListParagraph"/>
        <w:numPr>
          <w:ilvl w:val="0"/>
          <w:numId w:val="1"/>
        </w:numPr>
        <w:rPr>
          <w:rFonts w:eastAsiaTheme="minorEastAsia"/>
          <w:lang w:val="en-US"/>
        </w:rPr>
      </w:pPr>
      <w:r>
        <w:rPr>
          <w:lang w:val="en-US"/>
        </w:rPr>
        <w:t>T</w:t>
      </w:r>
      <w:r w:rsidR="00F01C35">
        <w:rPr>
          <w:lang w:val="en-US"/>
        </w:rPr>
        <w:t>here are t</w:t>
      </w:r>
      <w:r>
        <w:rPr>
          <w:lang w:val="en-US"/>
        </w:rPr>
        <w:t>ransaction costs (per unit) between the manufacturers and the market (consumers) because they can buy at the wholesale outlets:</w:t>
      </w:r>
      <w:r>
        <w:rPr>
          <w:lang w:val="en-US"/>
        </w:rPr>
        <w:br/>
      </w: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M1B1</m:t>
              </m:r>
            </m:sub>
          </m:sSub>
          <m:r>
            <w:rPr>
              <w:rFonts w:ascii="Cambria Math" w:hAnsi="Cambria Math"/>
              <w:lang w:val="en-US"/>
            </w:rPr>
            <m:t>=2</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M1B1</m:t>
              </m:r>
            </m:sub>
            <m:sup/>
          </m:sSubSup>
          <m:r>
            <w:rPr>
              <w:rFonts w:ascii="Cambria Math" w:hAnsi="Cambria Math"/>
              <w:lang w:val="en-US"/>
            </w:rPr>
            <m:t>+3</m:t>
          </m:r>
        </m:oMath>
      </m:oMathPara>
    </w:p>
    <w:p w:rsidR="004E3ABC" w:rsidRPr="00DF272F" w:rsidRDefault="004B5629" w:rsidP="004E3ABC">
      <w:pPr>
        <w:ind w:left="360"/>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M2B1</m:t>
              </m:r>
            </m:sub>
          </m:sSub>
          <m:r>
            <w:rPr>
              <w:rFonts w:ascii="Cambria Math" w:hAnsi="Cambria Math"/>
            </w:rPr>
            <m:t>=2</m:t>
          </m:r>
          <m:sSubSup>
            <m:sSubSupPr>
              <m:ctrlPr>
                <w:rPr>
                  <w:rFonts w:ascii="Cambria Math" w:hAnsi="Cambria Math"/>
                  <w:i/>
                </w:rPr>
              </m:ctrlPr>
            </m:sSubSupPr>
            <m:e>
              <m:r>
                <w:rPr>
                  <w:rFonts w:ascii="Cambria Math" w:hAnsi="Cambria Math"/>
                </w:rPr>
                <m:t>q</m:t>
              </m:r>
            </m:e>
            <m:sub>
              <m:r>
                <w:rPr>
                  <w:rFonts w:ascii="Cambria Math" w:hAnsi="Cambria Math"/>
                </w:rPr>
                <m:t>M2B1</m:t>
              </m:r>
            </m:sub>
            <m:sup/>
          </m:sSubSup>
          <m:r>
            <w:rPr>
              <w:rFonts w:ascii="Cambria Math" w:hAnsi="Cambria Math"/>
            </w:rPr>
            <m:t>+3</m:t>
          </m:r>
        </m:oMath>
      </m:oMathPara>
    </w:p>
    <w:p w:rsidR="00DF272F" w:rsidRPr="00426B84" w:rsidRDefault="00DF272F" w:rsidP="00DF272F">
      <w:pPr>
        <w:ind w:left="720"/>
        <w:rPr>
          <w:rFonts w:eastAsiaTheme="minorEastAsia"/>
        </w:rPr>
      </w:pPr>
      <w:r>
        <w:rPr>
          <w:rFonts w:eastAsiaTheme="minorEastAsia"/>
        </w:rPr>
        <w:t xml:space="preserve">These costs are slightly higher than buying from the retailers. The cost difference is due to consumers’ lack of information (on price, quality, </w:t>
      </w:r>
      <w:proofErr w:type="spellStart"/>
      <w:r>
        <w:rPr>
          <w:rFonts w:eastAsiaTheme="minorEastAsia"/>
        </w:rPr>
        <w:t>etc</w:t>
      </w:r>
      <w:proofErr w:type="spellEnd"/>
      <w:r>
        <w:rPr>
          <w:rFonts w:eastAsiaTheme="minorEastAsia"/>
        </w:rPr>
        <w:t>).</w:t>
      </w:r>
    </w:p>
    <w:p w:rsidR="006A5099" w:rsidRPr="00D54CA8" w:rsidRDefault="0051396E" w:rsidP="0081477F">
      <w:pPr>
        <w:pStyle w:val="ListParagraph"/>
        <w:numPr>
          <w:ilvl w:val="0"/>
          <w:numId w:val="1"/>
        </w:numPr>
        <w:rPr>
          <w:lang w:val="en-US"/>
        </w:rPr>
      </w:pPr>
      <w:r w:rsidRPr="00D54CA8">
        <w:rPr>
          <w:rFonts w:eastAsiaTheme="minorEastAsia"/>
          <w:lang w:val="en-US"/>
        </w:rPr>
        <w:t xml:space="preserve">To the </w:t>
      </w:r>
      <w:r w:rsidR="00DF272F">
        <w:rPr>
          <w:rFonts w:eastAsiaTheme="minorEastAsia"/>
          <w:lang w:val="en-US"/>
        </w:rPr>
        <w:t>consumers</w:t>
      </w:r>
      <w:r w:rsidRPr="00D54CA8">
        <w:rPr>
          <w:rFonts w:eastAsiaTheme="minorEastAsia"/>
          <w:lang w:val="en-US"/>
        </w:rPr>
        <w:t>, they see the</w:t>
      </w:r>
      <w:r w:rsidR="004E3ABC">
        <w:rPr>
          <w:rFonts w:eastAsiaTheme="minorEastAsia"/>
          <w:lang w:val="en-US"/>
        </w:rPr>
        <w:t xml:space="preserve"> products</w:t>
      </w:r>
      <w:r w:rsidR="00DF272F">
        <w:rPr>
          <w:rFonts w:eastAsiaTheme="minorEastAsia"/>
          <w:lang w:val="en-US"/>
        </w:rPr>
        <w:t xml:space="preserve"> from retailers </w:t>
      </w:r>
      <w:r w:rsidR="00A17825">
        <w:rPr>
          <w:rFonts w:eastAsiaTheme="minorEastAsia"/>
          <w:lang w:val="en-US"/>
        </w:rPr>
        <w:t>and the products from the wholesale outlets</w:t>
      </w:r>
      <w:r w:rsidR="00293363">
        <w:rPr>
          <w:rFonts w:eastAsiaTheme="minorEastAsia"/>
          <w:lang w:val="en-US"/>
        </w:rPr>
        <w:t xml:space="preserve"> </w:t>
      </w:r>
      <w:r w:rsidRPr="00D54CA8">
        <w:rPr>
          <w:rFonts w:eastAsiaTheme="minorEastAsia"/>
          <w:lang w:val="en-US"/>
        </w:rPr>
        <w:t>a</w:t>
      </w:r>
      <w:r w:rsidR="009F6195" w:rsidRPr="00D54CA8">
        <w:rPr>
          <w:rFonts w:eastAsiaTheme="minorEastAsia"/>
          <w:lang w:val="en-US"/>
        </w:rPr>
        <w:t>s</w:t>
      </w:r>
      <w:r w:rsidRPr="00D54CA8">
        <w:rPr>
          <w:rFonts w:eastAsiaTheme="minorEastAsia"/>
          <w:lang w:val="en-US"/>
        </w:rPr>
        <w:t xml:space="preserve"> identical. </w:t>
      </w:r>
      <w:r w:rsidR="00D54CA8" w:rsidRPr="00D54CA8">
        <w:rPr>
          <w:rFonts w:eastAsiaTheme="minorEastAsia"/>
          <w:lang w:val="en-US"/>
        </w:rPr>
        <w:t>So the maximum willingness to pay in each market is jointly determined by the total quantity supplied by both retailers</w:t>
      </w:r>
      <w:r w:rsidR="00A17825">
        <w:rPr>
          <w:rFonts w:eastAsiaTheme="minorEastAsia"/>
          <w:lang w:val="en-US"/>
        </w:rPr>
        <w:t xml:space="preserve"> and wholesalers</w:t>
      </w:r>
      <w:r w:rsidR="00D54CA8" w:rsidRPr="00D54CA8">
        <w:rPr>
          <w:rFonts w:eastAsiaTheme="minorEastAsia"/>
          <w:lang w:val="en-US"/>
        </w:rPr>
        <w:t xml:space="preserve">. The inverse demand </w:t>
      </w:r>
      <w:r w:rsidR="00DF272F">
        <w:rPr>
          <w:rFonts w:eastAsiaTheme="minorEastAsia"/>
          <w:lang w:val="en-US"/>
        </w:rPr>
        <w:t>curve is</w:t>
      </w:r>
      <w:r w:rsidR="006A5099" w:rsidRPr="00D54CA8">
        <w:rPr>
          <w:rFonts w:eastAsiaTheme="minorEastAsia"/>
          <w:lang w:val="en-US"/>
        </w:rPr>
        <w:br/>
      </w: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B1</m:t>
              </m:r>
            </m:sub>
          </m:sSub>
          <m:r>
            <w:rPr>
              <w:rFonts w:ascii="Cambria Math" w:eastAsiaTheme="minorEastAsia" w:hAnsi="Cambria Math"/>
              <w:lang w:val="en-US"/>
            </w:rPr>
            <m:t>=100-2</m:t>
          </m:r>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B1</m:t>
              </m:r>
            </m:sub>
          </m:sSub>
        </m:oMath>
      </m:oMathPara>
    </w:p>
    <w:p w:rsidR="00400A9A" w:rsidRPr="002369DD" w:rsidRDefault="00FD7D72">
      <w:pPr>
        <w:rPr>
          <w:rFonts w:eastAsiaTheme="minorEastAsia"/>
        </w:rPr>
      </w:pPr>
      <w:r>
        <w:tab/>
        <w:t xml:space="preserve">where </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B1</m:t>
                  </m:r>
                </m:sub>
              </m:sSub>
              <m:r>
                <w:rPr>
                  <w:rFonts w:ascii="Cambria Math" w:eastAsiaTheme="minorEastAsia" w:hAnsi="Cambria Math"/>
                </w:rPr>
                <m:t>=d</m:t>
              </m:r>
            </m:e>
            <m:sub>
              <m:r>
                <w:rPr>
                  <w:rFonts w:ascii="Cambria Math" w:eastAsiaTheme="minorEastAsia" w:hAnsi="Cambria Math"/>
                </w:rPr>
                <m:t>B1R1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B1R2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B1M1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B1M2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R1B1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R2B1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M1B1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M2B1</m:t>
              </m:r>
            </m:sub>
          </m:sSub>
        </m:oMath>
      </m:oMathPara>
    </w:p>
    <w:p w:rsidR="00FD7D72" w:rsidRDefault="00DF272F">
      <w:pPr>
        <w:rPr>
          <w:rFonts w:eastAsiaTheme="minorEastAsia"/>
        </w:rPr>
      </w:pPr>
      <w:r>
        <w:rPr>
          <w:rFonts w:eastAsiaTheme="minorEastAsia"/>
        </w:rPr>
        <w:t>Q</w:t>
      </w:r>
      <w:r w:rsidR="00FD7D72">
        <w:rPr>
          <w:rFonts w:eastAsiaTheme="minorEastAsia"/>
        </w:rPr>
        <w:t>uestions</w:t>
      </w:r>
    </w:p>
    <w:p w:rsidR="00FD7D72" w:rsidRDefault="00FD7D72" w:rsidP="00B5518C">
      <w:pPr>
        <w:pStyle w:val="ListParagraph"/>
        <w:rPr>
          <w:lang w:val="en-US"/>
        </w:rPr>
      </w:pPr>
    </w:p>
    <w:p w:rsidR="001A2790" w:rsidRDefault="001A2790" w:rsidP="00FD7D72">
      <w:pPr>
        <w:pStyle w:val="ListParagraph"/>
        <w:numPr>
          <w:ilvl w:val="0"/>
          <w:numId w:val="3"/>
        </w:numPr>
        <w:rPr>
          <w:lang w:val="en-US"/>
        </w:rPr>
      </w:pPr>
      <w:r>
        <w:rPr>
          <w:lang w:val="en-US"/>
        </w:rPr>
        <w:t>Write down the problem as a VI and solve it. Fill in the following table:</w:t>
      </w:r>
    </w:p>
    <w:tbl>
      <w:tblPr>
        <w:tblStyle w:val="TableGrid"/>
        <w:tblW w:w="0" w:type="auto"/>
        <w:tblInd w:w="720" w:type="dxa"/>
        <w:tblLook w:val="04A0" w:firstRow="1" w:lastRow="0" w:firstColumn="1" w:lastColumn="0" w:noHBand="0" w:noVBand="1"/>
      </w:tblPr>
      <w:tblGrid>
        <w:gridCol w:w="1147"/>
        <w:gridCol w:w="1147"/>
        <w:gridCol w:w="1134"/>
        <w:gridCol w:w="1080"/>
        <w:gridCol w:w="1079"/>
        <w:gridCol w:w="1079"/>
        <w:gridCol w:w="997"/>
        <w:gridCol w:w="967"/>
      </w:tblGrid>
      <w:tr w:rsidR="003A69F1" w:rsidTr="007A643F">
        <w:tc>
          <w:tcPr>
            <w:tcW w:w="1147" w:type="dxa"/>
          </w:tcPr>
          <w:p w:rsidR="007A643F" w:rsidRPr="001A2790" w:rsidRDefault="007A643F" w:rsidP="007A643F">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M1R1</m:t>
                    </m:r>
                  </m:sub>
                </m:sSub>
              </m:oMath>
            </m:oMathPara>
          </w:p>
        </w:tc>
        <w:tc>
          <w:tcPr>
            <w:tcW w:w="1147" w:type="dxa"/>
          </w:tcPr>
          <w:p w:rsidR="007A643F" w:rsidRPr="001A2790" w:rsidRDefault="007A643F" w:rsidP="007A643F">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M1R2</m:t>
                    </m:r>
                  </m:sub>
                </m:sSub>
              </m:oMath>
            </m:oMathPara>
          </w:p>
        </w:tc>
        <w:tc>
          <w:tcPr>
            <w:tcW w:w="1142" w:type="dxa"/>
          </w:tcPr>
          <w:p w:rsidR="007A643F" w:rsidRPr="001A2790" w:rsidRDefault="007A643F" w:rsidP="007A643F">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M1R3</m:t>
                    </m:r>
                  </m:sub>
                </m:sSub>
              </m:oMath>
            </m:oMathPara>
          </w:p>
        </w:tc>
        <w:tc>
          <w:tcPr>
            <w:tcW w:w="1080" w:type="dxa"/>
          </w:tcPr>
          <w:p w:rsidR="007A643F" w:rsidRPr="001A2790" w:rsidRDefault="007A643F" w:rsidP="007A643F">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M1R4</m:t>
                    </m:r>
                  </m:sub>
                </m:sSub>
              </m:oMath>
            </m:oMathPara>
          </w:p>
        </w:tc>
        <w:tc>
          <w:tcPr>
            <w:tcW w:w="1050" w:type="dxa"/>
          </w:tcPr>
          <w:p w:rsidR="007A643F" w:rsidRPr="001A2790" w:rsidRDefault="007A643F" w:rsidP="007A643F">
            <m:oMathPara>
              <m:oMath>
                <m:sSub>
                  <m:sSubPr>
                    <m:ctrlPr>
                      <w:rPr>
                        <w:rFonts w:ascii="Cambria Math" w:hAnsi="Cambria Math"/>
                        <w:i/>
                      </w:rPr>
                    </m:ctrlPr>
                  </m:sSubPr>
                  <m:e>
                    <m:r>
                      <w:rPr>
                        <w:rFonts w:ascii="Cambria Math" w:hAnsi="Cambria Math"/>
                      </w:rPr>
                      <m:t>ρ</m:t>
                    </m:r>
                  </m:e>
                  <m:sub>
                    <m:r>
                      <w:rPr>
                        <w:rFonts w:ascii="Cambria Math" w:hAnsi="Cambria Math"/>
                      </w:rPr>
                      <m:t>R1</m:t>
                    </m:r>
                  </m:sub>
                </m:sSub>
              </m:oMath>
            </m:oMathPara>
          </w:p>
        </w:tc>
        <w:tc>
          <w:tcPr>
            <w:tcW w:w="1032" w:type="dxa"/>
          </w:tcPr>
          <w:p w:rsidR="007A643F" w:rsidRPr="001A2790" w:rsidRDefault="007A643F" w:rsidP="007A643F">
            <m:oMathPara>
              <m:oMath>
                <m:sSub>
                  <m:sSubPr>
                    <m:ctrlPr>
                      <w:rPr>
                        <w:rFonts w:ascii="Cambria Math" w:hAnsi="Cambria Math"/>
                        <w:i/>
                      </w:rPr>
                    </m:ctrlPr>
                  </m:sSubPr>
                  <m:e>
                    <m:r>
                      <w:rPr>
                        <w:rFonts w:ascii="Cambria Math" w:hAnsi="Cambria Math"/>
                      </w:rPr>
                      <m:t>ρ</m:t>
                    </m:r>
                  </m:e>
                  <m:sub>
                    <m:r>
                      <w:rPr>
                        <w:rFonts w:ascii="Cambria Math" w:hAnsi="Cambria Math"/>
                      </w:rPr>
                      <m:t>R2</m:t>
                    </m:r>
                  </m:sub>
                </m:sSub>
              </m:oMath>
            </m:oMathPara>
          </w:p>
        </w:tc>
        <w:tc>
          <w:tcPr>
            <w:tcW w:w="1027" w:type="dxa"/>
          </w:tcPr>
          <w:p w:rsidR="007A643F" w:rsidRPr="001A2790" w:rsidRDefault="007A643F" w:rsidP="007A643F">
            <m:oMathPara>
              <m:oMath>
                <m:sSub>
                  <m:sSubPr>
                    <m:ctrlPr>
                      <w:rPr>
                        <w:rFonts w:ascii="Cambria Math" w:hAnsi="Cambria Math"/>
                        <w:i/>
                      </w:rPr>
                    </m:ctrlPr>
                  </m:sSubPr>
                  <m:e>
                    <m:r>
                      <w:rPr>
                        <w:rFonts w:ascii="Cambria Math" w:hAnsi="Cambria Math"/>
                      </w:rPr>
                      <m:t>ρ</m:t>
                    </m:r>
                  </m:e>
                  <m:sub>
                    <m:r>
                      <w:rPr>
                        <w:rFonts w:ascii="Cambria Math" w:hAnsi="Cambria Math"/>
                      </w:rPr>
                      <m:t>R</m:t>
                    </m:r>
                    <m:r>
                      <w:rPr>
                        <w:rFonts w:ascii="Cambria Math" w:hAnsi="Cambria Math"/>
                      </w:rPr>
                      <m:t>3</m:t>
                    </m:r>
                  </m:sub>
                </m:sSub>
              </m:oMath>
            </m:oMathPara>
          </w:p>
        </w:tc>
        <w:tc>
          <w:tcPr>
            <w:tcW w:w="1005" w:type="dxa"/>
          </w:tcPr>
          <w:p w:rsidR="007A643F" w:rsidRPr="001A2790" w:rsidRDefault="007A643F" w:rsidP="007A643F">
            <m:oMathPara>
              <m:oMath>
                <m:sSub>
                  <m:sSubPr>
                    <m:ctrlPr>
                      <w:rPr>
                        <w:rFonts w:ascii="Cambria Math" w:hAnsi="Cambria Math"/>
                        <w:i/>
                      </w:rPr>
                    </m:ctrlPr>
                  </m:sSubPr>
                  <m:e>
                    <m:r>
                      <w:rPr>
                        <w:rFonts w:ascii="Cambria Math" w:hAnsi="Cambria Math"/>
                      </w:rPr>
                      <m:t>ρ</m:t>
                    </m:r>
                  </m:e>
                  <m:sub>
                    <m:r>
                      <w:rPr>
                        <w:rFonts w:ascii="Cambria Math" w:hAnsi="Cambria Math"/>
                      </w:rPr>
                      <m:t>R</m:t>
                    </m:r>
                    <m:r>
                      <w:rPr>
                        <w:rFonts w:ascii="Cambria Math" w:hAnsi="Cambria Math"/>
                      </w:rPr>
                      <m:t>4</m:t>
                    </m:r>
                  </m:sub>
                </m:sSub>
              </m:oMath>
            </m:oMathPara>
          </w:p>
        </w:tc>
      </w:tr>
      <w:tr w:rsidR="00C3367F" w:rsidRPr="00C3367F" w:rsidTr="007A643F">
        <w:tc>
          <w:tcPr>
            <w:tcW w:w="1147" w:type="dxa"/>
          </w:tcPr>
          <w:p w:rsidR="007A643F" w:rsidRPr="00C3367F" w:rsidRDefault="003A69F1" w:rsidP="007A643F">
            <w:pPr>
              <w:rPr>
                <w:color w:val="A6A6A6" w:themeColor="background1" w:themeShade="A6"/>
              </w:rPr>
            </w:pPr>
            <w:r w:rsidRPr="00C3367F">
              <w:rPr>
                <w:color w:val="A6A6A6" w:themeColor="background1" w:themeShade="A6"/>
              </w:rPr>
              <w:t>0.96</w:t>
            </w:r>
          </w:p>
        </w:tc>
        <w:tc>
          <w:tcPr>
            <w:tcW w:w="1147" w:type="dxa"/>
          </w:tcPr>
          <w:p w:rsidR="007A643F" w:rsidRPr="00C3367F" w:rsidRDefault="003A69F1" w:rsidP="007A643F">
            <w:pPr>
              <w:rPr>
                <w:color w:val="A6A6A6" w:themeColor="background1" w:themeShade="A6"/>
              </w:rPr>
            </w:pPr>
            <w:r w:rsidRPr="00C3367F">
              <w:rPr>
                <w:color w:val="A6A6A6" w:themeColor="background1" w:themeShade="A6"/>
              </w:rPr>
              <w:t>0.95</w:t>
            </w:r>
          </w:p>
        </w:tc>
        <w:tc>
          <w:tcPr>
            <w:tcW w:w="1142" w:type="dxa"/>
          </w:tcPr>
          <w:p w:rsidR="007A643F" w:rsidRPr="00C3367F" w:rsidRDefault="003A69F1" w:rsidP="007A643F">
            <w:pPr>
              <w:rPr>
                <w:color w:val="A6A6A6" w:themeColor="background1" w:themeShade="A6"/>
              </w:rPr>
            </w:pPr>
            <w:r w:rsidRPr="00C3367F">
              <w:rPr>
                <w:color w:val="A6A6A6" w:themeColor="background1" w:themeShade="A6"/>
              </w:rPr>
              <w:t>2.65</w:t>
            </w:r>
          </w:p>
        </w:tc>
        <w:tc>
          <w:tcPr>
            <w:tcW w:w="1080" w:type="dxa"/>
          </w:tcPr>
          <w:p w:rsidR="007A643F" w:rsidRPr="00C3367F" w:rsidRDefault="003A69F1" w:rsidP="007A643F">
            <w:pPr>
              <w:rPr>
                <w:color w:val="A6A6A6" w:themeColor="background1" w:themeShade="A6"/>
              </w:rPr>
            </w:pPr>
            <w:r w:rsidRPr="00C3367F">
              <w:rPr>
                <w:color w:val="A6A6A6" w:themeColor="background1" w:themeShade="A6"/>
              </w:rPr>
              <w:t>2.66</w:t>
            </w:r>
          </w:p>
        </w:tc>
        <w:tc>
          <w:tcPr>
            <w:tcW w:w="1050" w:type="dxa"/>
          </w:tcPr>
          <w:p w:rsidR="007A643F" w:rsidRPr="00C3367F" w:rsidRDefault="003A69F1" w:rsidP="007A643F">
            <w:pPr>
              <w:rPr>
                <w:color w:val="A6A6A6" w:themeColor="background1" w:themeShade="A6"/>
              </w:rPr>
            </w:pPr>
            <w:r w:rsidRPr="00C3367F">
              <w:rPr>
                <w:color w:val="A6A6A6" w:themeColor="background1" w:themeShade="A6"/>
              </w:rPr>
              <w:t>38.15</w:t>
            </w:r>
          </w:p>
        </w:tc>
        <w:tc>
          <w:tcPr>
            <w:tcW w:w="1032" w:type="dxa"/>
          </w:tcPr>
          <w:p w:rsidR="007A643F" w:rsidRPr="00C3367F" w:rsidRDefault="003A69F1" w:rsidP="007A643F">
            <w:pPr>
              <w:rPr>
                <w:color w:val="A6A6A6" w:themeColor="background1" w:themeShade="A6"/>
              </w:rPr>
            </w:pPr>
            <w:r w:rsidRPr="00C3367F">
              <w:rPr>
                <w:color w:val="A6A6A6" w:themeColor="background1" w:themeShade="A6"/>
              </w:rPr>
              <w:t>38.15</w:t>
            </w:r>
          </w:p>
        </w:tc>
        <w:tc>
          <w:tcPr>
            <w:tcW w:w="1027" w:type="dxa"/>
          </w:tcPr>
          <w:p w:rsidR="007A643F" w:rsidRPr="00C3367F" w:rsidRDefault="003A69F1" w:rsidP="007A643F">
            <w:pPr>
              <w:rPr>
                <w:color w:val="A6A6A6" w:themeColor="background1" w:themeShade="A6"/>
              </w:rPr>
            </w:pPr>
            <w:r w:rsidRPr="00C3367F">
              <w:rPr>
                <w:color w:val="A6A6A6" w:themeColor="background1" w:themeShade="A6"/>
              </w:rPr>
              <w:t>28.92</w:t>
            </w:r>
          </w:p>
        </w:tc>
        <w:tc>
          <w:tcPr>
            <w:tcW w:w="1005" w:type="dxa"/>
          </w:tcPr>
          <w:p w:rsidR="007A643F" w:rsidRPr="00C3367F" w:rsidRDefault="003A69F1" w:rsidP="007A643F">
            <w:pPr>
              <w:rPr>
                <w:color w:val="A6A6A6" w:themeColor="background1" w:themeShade="A6"/>
              </w:rPr>
            </w:pPr>
            <w:r w:rsidRPr="00C3367F">
              <w:rPr>
                <w:color w:val="A6A6A6" w:themeColor="background1" w:themeShade="A6"/>
              </w:rPr>
              <w:t>28.92</w:t>
            </w:r>
          </w:p>
        </w:tc>
      </w:tr>
      <w:tr w:rsidR="003A69F1" w:rsidTr="007A643F">
        <w:tc>
          <w:tcPr>
            <w:tcW w:w="1147" w:type="dxa"/>
          </w:tcPr>
          <w:p w:rsidR="007A643F" w:rsidRPr="001A2790" w:rsidRDefault="007A643F" w:rsidP="007A643F">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r>
                      <w:rPr>
                        <w:rFonts w:ascii="Cambria Math" w:eastAsiaTheme="minorEastAsia" w:hAnsi="Cambria Math"/>
                      </w:rPr>
                      <m:t>2</m:t>
                    </m:r>
                    <m:r>
                      <w:rPr>
                        <w:rFonts w:ascii="Cambria Math" w:eastAsiaTheme="minorEastAsia" w:hAnsi="Cambria Math"/>
                      </w:rPr>
                      <m:t>R1</m:t>
                    </m:r>
                  </m:sub>
                </m:sSub>
              </m:oMath>
            </m:oMathPara>
          </w:p>
        </w:tc>
        <w:tc>
          <w:tcPr>
            <w:tcW w:w="1147" w:type="dxa"/>
          </w:tcPr>
          <w:p w:rsidR="007A643F" w:rsidRPr="001A2790" w:rsidRDefault="007A643F" w:rsidP="007A643F">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r>
                      <w:rPr>
                        <w:rFonts w:ascii="Cambria Math" w:eastAsiaTheme="minorEastAsia" w:hAnsi="Cambria Math"/>
                      </w:rPr>
                      <m:t>2</m:t>
                    </m:r>
                    <m:r>
                      <w:rPr>
                        <w:rFonts w:ascii="Cambria Math" w:eastAsiaTheme="minorEastAsia" w:hAnsi="Cambria Math"/>
                      </w:rPr>
                      <m:t>R2</m:t>
                    </m:r>
                  </m:sub>
                </m:sSub>
              </m:oMath>
            </m:oMathPara>
          </w:p>
        </w:tc>
        <w:tc>
          <w:tcPr>
            <w:tcW w:w="1142" w:type="dxa"/>
          </w:tcPr>
          <w:p w:rsidR="007A643F" w:rsidRPr="001A2790" w:rsidRDefault="007A643F" w:rsidP="007A643F">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r>
                      <w:rPr>
                        <w:rFonts w:ascii="Cambria Math" w:eastAsiaTheme="minorEastAsia" w:hAnsi="Cambria Math"/>
                      </w:rPr>
                      <m:t>2</m:t>
                    </m:r>
                    <m:r>
                      <w:rPr>
                        <w:rFonts w:ascii="Cambria Math" w:eastAsiaTheme="minorEastAsia" w:hAnsi="Cambria Math"/>
                      </w:rPr>
                      <m:t>R3</m:t>
                    </m:r>
                  </m:sub>
                </m:sSub>
              </m:oMath>
            </m:oMathPara>
          </w:p>
        </w:tc>
        <w:tc>
          <w:tcPr>
            <w:tcW w:w="1080" w:type="dxa"/>
          </w:tcPr>
          <w:p w:rsidR="007A643F" w:rsidRPr="001A2790" w:rsidRDefault="007A643F" w:rsidP="007A643F">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r>
                      <w:rPr>
                        <w:rFonts w:ascii="Cambria Math" w:eastAsiaTheme="minorEastAsia" w:hAnsi="Cambria Math"/>
                      </w:rPr>
                      <m:t>2</m:t>
                    </m:r>
                    <m:r>
                      <w:rPr>
                        <w:rFonts w:ascii="Cambria Math" w:eastAsiaTheme="minorEastAsia" w:hAnsi="Cambria Math"/>
                      </w:rPr>
                      <m:t>R4</m:t>
                    </m:r>
                  </m:sub>
                </m:sSub>
              </m:oMath>
            </m:oMathPara>
          </w:p>
        </w:tc>
        <w:tc>
          <w:tcPr>
            <w:tcW w:w="1050" w:type="dxa"/>
          </w:tcPr>
          <w:p w:rsidR="007A643F" w:rsidRPr="001A2790" w:rsidRDefault="007A643F" w:rsidP="007A643F"/>
        </w:tc>
        <w:tc>
          <w:tcPr>
            <w:tcW w:w="1032" w:type="dxa"/>
          </w:tcPr>
          <w:p w:rsidR="007A643F" w:rsidRPr="001A2790" w:rsidRDefault="007A643F" w:rsidP="007A643F"/>
        </w:tc>
        <w:tc>
          <w:tcPr>
            <w:tcW w:w="1027" w:type="dxa"/>
          </w:tcPr>
          <w:p w:rsidR="007A643F" w:rsidRPr="001A2790" w:rsidRDefault="007A643F" w:rsidP="007A643F"/>
        </w:tc>
        <w:tc>
          <w:tcPr>
            <w:tcW w:w="1005" w:type="dxa"/>
          </w:tcPr>
          <w:p w:rsidR="007A643F" w:rsidRPr="001A2790" w:rsidRDefault="007A643F" w:rsidP="007A643F"/>
        </w:tc>
      </w:tr>
      <w:tr w:rsidR="00C3367F" w:rsidRPr="00C3367F" w:rsidTr="007A643F">
        <w:tc>
          <w:tcPr>
            <w:tcW w:w="1147" w:type="dxa"/>
          </w:tcPr>
          <w:p w:rsidR="007A643F" w:rsidRPr="00C3367F" w:rsidRDefault="003A69F1" w:rsidP="007A643F">
            <w:pPr>
              <w:rPr>
                <w:color w:val="A6A6A6" w:themeColor="background1" w:themeShade="A6"/>
              </w:rPr>
            </w:pPr>
            <w:r w:rsidRPr="00C3367F">
              <w:rPr>
                <w:color w:val="A6A6A6" w:themeColor="background1" w:themeShade="A6"/>
              </w:rPr>
              <w:t>0.84</w:t>
            </w:r>
          </w:p>
        </w:tc>
        <w:tc>
          <w:tcPr>
            <w:tcW w:w="1147" w:type="dxa"/>
          </w:tcPr>
          <w:p w:rsidR="007A643F" w:rsidRPr="00C3367F" w:rsidRDefault="003A69F1" w:rsidP="007A643F">
            <w:pPr>
              <w:rPr>
                <w:color w:val="A6A6A6" w:themeColor="background1" w:themeShade="A6"/>
              </w:rPr>
            </w:pPr>
            <w:r w:rsidRPr="00C3367F">
              <w:rPr>
                <w:color w:val="A6A6A6" w:themeColor="background1" w:themeShade="A6"/>
              </w:rPr>
              <w:t>0.85</w:t>
            </w:r>
          </w:p>
        </w:tc>
        <w:tc>
          <w:tcPr>
            <w:tcW w:w="1142" w:type="dxa"/>
          </w:tcPr>
          <w:p w:rsidR="007A643F" w:rsidRPr="00C3367F" w:rsidRDefault="003A69F1" w:rsidP="007A643F">
            <w:pPr>
              <w:rPr>
                <w:color w:val="A6A6A6" w:themeColor="background1" w:themeShade="A6"/>
              </w:rPr>
            </w:pPr>
            <w:r w:rsidRPr="00C3367F">
              <w:rPr>
                <w:color w:val="A6A6A6" w:themeColor="background1" w:themeShade="A6"/>
              </w:rPr>
              <w:t>2.77</w:t>
            </w:r>
          </w:p>
        </w:tc>
        <w:tc>
          <w:tcPr>
            <w:tcW w:w="1080" w:type="dxa"/>
          </w:tcPr>
          <w:p w:rsidR="007A643F" w:rsidRPr="00C3367F" w:rsidRDefault="003A69F1" w:rsidP="007A643F">
            <w:pPr>
              <w:rPr>
                <w:color w:val="A6A6A6" w:themeColor="background1" w:themeShade="A6"/>
              </w:rPr>
            </w:pPr>
            <w:r w:rsidRPr="00C3367F">
              <w:rPr>
                <w:color w:val="A6A6A6" w:themeColor="background1" w:themeShade="A6"/>
              </w:rPr>
              <w:t>2.76</w:t>
            </w:r>
          </w:p>
        </w:tc>
        <w:tc>
          <w:tcPr>
            <w:tcW w:w="1050" w:type="dxa"/>
          </w:tcPr>
          <w:p w:rsidR="007A643F" w:rsidRPr="00C3367F" w:rsidRDefault="007A643F" w:rsidP="007A643F">
            <w:pPr>
              <w:rPr>
                <w:color w:val="A6A6A6" w:themeColor="background1" w:themeShade="A6"/>
              </w:rPr>
            </w:pPr>
          </w:p>
        </w:tc>
        <w:tc>
          <w:tcPr>
            <w:tcW w:w="1032" w:type="dxa"/>
          </w:tcPr>
          <w:p w:rsidR="007A643F" w:rsidRPr="00C3367F" w:rsidRDefault="007A643F" w:rsidP="007A643F">
            <w:pPr>
              <w:rPr>
                <w:color w:val="A6A6A6" w:themeColor="background1" w:themeShade="A6"/>
              </w:rPr>
            </w:pPr>
          </w:p>
        </w:tc>
        <w:tc>
          <w:tcPr>
            <w:tcW w:w="1027" w:type="dxa"/>
          </w:tcPr>
          <w:p w:rsidR="007A643F" w:rsidRPr="00C3367F" w:rsidRDefault="007A643F" w:rsidP="007A643F">
            <w:pPr>
              <w:rPr>
                <w:color w:val="A6A6A6" w:themeColor="background1" w:themeShade="A6"/>
              </w:rPr>
            </w:pPr>
          </w:p>
        </w:tc>
        <w:tc>
          <w:tcPr>
            <w:tcW w:w="1005" w:type="dxa"/>
          </w:tcPr>
          <w:p w:rsidR="007A643F" w:rsidRPr="00C3367F" w:rsidRDefault="007A643F" w:rsidP="007A643F">
            <w:pPr>
              <w:rPr>
                <w:color w:val="A6A6A6" w:themeColor="background1" w:themeShade="A6"/>
              </w:rPr>
            </w:pPr>
          </w:p>
        </w:tc>
      </w:tr>
      <w:tr w:rsidR="003A69F1" w:rsidTr="007A643F">
        <w:tc>
          <w:tcPr>
            <w:tcW w:w="1147" w:type="dxa"/>
          </w:tcPr>
          <w:p w:rsidR="007A643F" w:rsidRPr="001A2790" w:rsidRDefault="007A643F" w:rsidP="007A643F">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R1B1</m:t>
                    </m:r>
                  </m:sub>
                </m:sSub>
              </m:oMath>
            </m:oMathPara>
          </w:p>
        </w:tc>
        <w:tc>
          <w:tcPr>
            <w:tcW w:w="1147" w:type="dxa"/>
          </w:tcPr>
          <w:p w:rsidR="007A643F" w:rsidRPr="001A2790" w:rsidRDefault="007A643F" w:rsidP="007A643F">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R2B1</m:t>
                    </m:r>
                  </m:sub>
                </m:sSub>
              </m:oMath>
            </m:oMathPara>
          </w:p>
        </w:tc>
        <w:tc>
          <w:tcPr>
            <w:tcW w:w="1142" w:type="dxa"/>
          </w:tcPr>
          <w:p w:rsidR="007A643F" w:rsidRPr="001A2790" w:rsidRDefault="007A643F" w:rsidP="007A643F">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m:t>
                    </m:r>
                    <m:r>
                      <w:rPr>
                        <w:rFonts w:ascii="Cambria Math" w:eastAsiaTheme="minorEastAsia" w:hAnsi="Cambria Math"/>
                      </w:rPr>
                      <m:t>3</m:t>
                    </m:r>
                    <m:r>
                      <w:rPr>
                        <w:rFonts w:ascii="Cambria Math" w:eastAsiaTheme="minorEastAsia" w:hAnsi="Cambria Math"/>
                      </w:rPr>
                      <m:t>B1</m:t>
                    </m:r>
                  </m:sub>
                </m:sSub>
              </m:oMath>
            </m:oMathPara>
          </w:p>
        </w:tc>
        <w:tc>
          <w:tcPr>
            <w:tcW w:w="1080" w:type="dxa"/>
          </w:tcPr>
          <w:p w:rsidR="007A643F" w:rsidRPr="001A2790" w:rsidRDefault="007A643F" w:rsidP="007A643F">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m:t>
                    </m:r>
                    <m:r>
                      <w:rPr>
                        <w:rFonts w:ascii="Cambria Math" w:eastAsiaTheme="minorEastAsia" w:hAnsi="Cambria Math"/>
                      </w:rPr>
                      <m:t>4</m:t>
                    </m:r>
                    <m:r>
                      <w:rPr>
                        <w:rFonts w:ascii="Cambria Math" w:eastAsiaTheme="minorEastAsia" w:hAnsi="Cambria Math"/>
                      </w:rPr>
                      <m:t>B1</m:t>
                    </m:r>
                  </m:sub>
                </m:sSub>
              </m:oMath>
            </m:oMathPara>
          </w:p>
        </w:tc>
        <w:tc>
          <w:tcPr>
            <w:tcW w:w="1050" w:type="dxa"/>
          </w:tcPr>
          <w:p w:rsidR="007A643F" w:rsidRPr="001A2790" w:rsidRDefault="007A643F" w:rsidP="007A643F">
            <m:oMathPara>
              <m:oMath>
                <m:sSub>
                  <m:sSubPr>
                    <m:ctrlPr>
                      <w:rPr>
                        <w:rFonts w:ascii="Cambria Math" w:hAnsi="Cambria Math"/>
                        <w:i/>
                      </w:rPr>
                    </m:ctrlPr>
                  </m:sSubPr>
                  <m:e>
                    <m:r>
                      <w:rPr>
                        <w:rFonts w:ascii="Cambria Math" w:hAnsi="Cambria Math"/>
                      </w:rPr>
                      <m:t>ρ</m:t>
                    </m:r>
                  </m:e>
                  <m:sub>
                    <m:r>
                      <w:rPr>
                        <w:rFonts w:ascii="Cambria Math" w:hAnsi="Cambria Math"/>
                      </w:rPr>
                      <m:t>B1</m:t>
                    </m:r>
                  </m:sub>
                </m:sSub>
              </m:oMath>
            </m:oMathPara>
          </w:p>
        </w:tc>
        <w:tc>
          <w:tcPr>
            <w:tcW w:w="1032" w:type="dxa"/>
          </w:tcPr>
          <w:p w:rsidR="007A643F" w:rsidRPr="001A2790" w:rsidRDefault="007A643F" w:rsidP="007A643F"/>
        </w:tc>
        <w:tc>
          <w:tcPr>
            <w:tcW w:w="1027" w:type="dxa"/>
          </w:tcPr>
          <w:p w:rsidR="007A643F" w:rsidRPr="001A2790" w:rsidRDefault="007A643F" w:rsidP="007A643F">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B1</m:t>
                    </m:r>
                  </m:sub>
                </m:sSub>
              </m:oMath>
            </m:oMathPara>
          </w:p>
        </w:tc>
        <w:tc>
          <w:tcPr>
            <w:tcW w:w="1005" w:type="dxa"/>
          </w:tcPr>
          <w:p w:rsidR="007A643F" w:rsidRPr="001A2790" w:rsidRDefault="007A643F" w:rsidP="007A643F"/>
        </w:tc>
      </w:tr>
      <w:tr w:rsidR="00C3367F" w:rsidRPr="00C3367F" w:rsidTr="007A643F">
        <w:tc>
          <w:tcPr>
            <w:tcW w:w="1147" w:type="dxa"/>
          </w:tcPr>
          <w:p w:rsidR="007A643F" w:rsidRPr="00C3367F" w:rsidRDefault="003A69F1" w:rsidP="007A643F">
            <w:pPr>
              <w:rPr>
                <w:color w:val="A6A6A6" w:themeColor="background1" w:themeShade="A6"/>
              </w:rPr>
            </w:pPr>
            <w:r w:rsidRPr="00C3367F">
              <w:rPr>
                <w:color w:val="A6A6A6" w:themeColor="background1" w:themeShade="A6"/>
              </w:rPr>
              <w:t>1.81</w:t>
            </w:r>
          </w:p>
        </w:tc>
        <w:tc>
          <w:tcPr>
            <w:tcW w:w="1147" w:type="dxa"/>
          </w:tcPr>
          <w:p w:rsidR="007A643F" w:rsidRPr="00C3367F" w:rsidRDefault="003A69F1" w:rsidP="007A643F">
            <w:pPr>
              <w:rPr>
                <w:color w:val="A6A6A6" w:themeColor="background1" w:themeShade="A6"/>
              </w:rPr>
            </w:pPr>
            <w:r w:rsidRPr="00C3367F">
              <w:rPr>
                <w:color w:val="A6A6A6" w:themeColor="background1" w:themeShade="A6"/>
              </w:rPr>
              <w:t>1.81</w:t>
            </w:r>
          </w:p>
        </w:tc>
        <w:tc>
          <w:tcPr>
            <w:tcW w:w="1142" w:type="dxa"/>
          </w:tcPr>
          <w:p w:rsidR="007A643F" w:rsidRPr="00C3367F" w:rsidRDefault="003A69F1" w:rsidP="007A643F">
            <w:pPr>
              <w:rPr>
                <w:color w:val="A6A6A6" w:themeColor="background1" w:themeShade="A6"/>
              </w:rPr>
            </w:pPr>
            <w:r w:rsidRPr="00C3367F">
              <w:rPr>
                <w:color w:val="A6A6A6" w:themeColor="background1" w:themeShade="A6"/>
              </w:rPr>
              <w:t>5.42</w:t>
            </w:r>
          </w:p>
        </w:tc>
        <w:tc>
          <w:tcPr>
            <w:tcW w:w="1080" w:type="dxa"/>
          </w:tcPr>
          <w:p w:rsidR="007A643F" w:rsidRPr="00C3367F" w:rsidRDefault="003A69F1" w:rsidP="007A643F">
            <w:pPr>
              <w:rPr>
                <w:color w:val="A6A6A6" w:themeColor="background1" w:themeShade="A6"/>
              </w:rPr>
            </w:pPr>
            <w:r w:rsidRPr="00C3367F">
              <w:rPr>
                <w:color w:val="A6A6A6" w:themeColor="background1" w:themeShade="A6"/>
              </w:rPr>
              <w:t>5.42</w:t>
            </w:r>
          </w:p>
        </w:tc>
        <w:tc>
          <w:tcPr>
            <w:tcW w:w="1050" w:type="dxa"/>
          </w:tcPr>
          <w:p w:rsidR="007A643F" w:rsidRPr="00C3367F" w:rsidRDefault="003A69F1" w:rsidP="007A643F">
            <w:pPr>
              <w:rPr>
                <w:color w:val="A6A6A6" w:themeColor="background1" w:themeShade="A6"/>
              </w:rPr>
            </w:pPr>
            <w:r w:rsidRPr="00C3367F">
              <w:rPr>
                <w:color w:val="A6A6A6" w:themeColor="background1" w:themeShade="A6"/>
              </w:rPr>
              <w:t>42.77</w:t>
            </w:r>
          </w:p>
        </w:tc>
        <w:tc>
          <w:tcPr>
            <w:tcW w:w="1032" w:type="dxa"/>
          </w:tcPr>
          <w:p w:rsidR="007A643F" w:rsidRPr="00C3367F" w:rsidRDefault="007A643F" w:rsidP="007A643F">
            <w:pPr>
              <w:rPr>
                <w:color w:val="A6A6A6" w:themeColor="background1" w:themeShade="A6"/>
              </w:rPr>
            </w:pPr>
          </w:p>
        </w:tc>
        <w:tc>
          <w:tcPr>
            <w:tcW w:w="1027" w:type="dxa"/>
          </w:tcPr>
          <w:p w:rsidR="007A643F" w:rsidRPr="00C3367F" w:rsidRDefault="003A69F1" w:rsidP="007A643F">
            <w:pPr>
              <w:rPr>
                <w:color w:val="A6A6A6" w:themeColor="background1" w:themeShade="A6"/>
              </w:rPr>
            </w:pPr>
            <w:r w:rsidRPr="00C3367F">
              <w:rPr>
                <w:color w:val="A6A6A6" w:themeColor="background1" w:themeShade="A6"/>
              </w:rPr>
              <w:t>14.47</w:t>
            </w:r>
          </w:p>
        </w:tc>
        <w:tc>
          <w:tcPr>
            <w:tcW w:w="1005" w:type="dxa"/>
          </w:tcPr>
          <w:p w:rsidR="007A643F" w:rsidRPr="00C3367F" w:rsidRDefault="007A643F" w:rsidP="007A643F">
            <w:pPr>
              <w:rPr>
                <w:color w:val="A6A6A6" w:themeColor="background1" w:themeShade="A6"/>
              </w:rPr>
            </w:pPr>
          </w:p>
        </w:tc>
      </w:tr>
      <w:tr w:rsidR="003A69F1" w:rsidTr="007A643F">
        <w:tc>
          <w:tcPr>
            <w:tcW w:w="1147" w:type="dxa"/>
          </w:tcPr>
          <w:p w:rsidR="007A643F" w:rsidRPr="001A2790" w:rsidRDefault="007A643F" w:rsidP="007A643F">
            <w:r>
              <w:t>Profit(M1)</w:t>
            </w:r>
          </w:p>
        </w:tc>
        <w:tc>
          <w:tcPr>
            <w:tcW w:w="1147" w:type="dxa"/>
          </w:tcPr>
          <w:p w:rsidR="007A643F" w:rsidRPr="001A2790" w:rsidRDefault="007A643F" w:rsidP="007A643F">
            <w:r>
              <w:t>Profit(M2)</w:t>
            </w:r>
          </w:p>
        </w:tc>
        <w:tc>
          <w:tcPr>
            <w:tcW w:w="1142" w:type="dxa"/>
          </w:tcPr>
          <w:p w:rsidR="007A643F" w:rsidRPr="001A2790" w:rsidRDefault="007A643F" w:rsidP="007A643F">
            <w:r>
              <w:t>Profit(R1)</w:t>
            </w:r>
          </w:p>
        </w:tc>
        <w:tc>
          <w:tcPr>
            <w:tcW w:w="1080" w:type="dxa"/>
          </w:tcPr>
          <w:p w:rsidR="007A643F" w:rsidRPr="001A2790" w:rsidRDefault="007A643F" w:rsidP="007A643F">
            <w:r>
              <w:t>Profit(R2)</w:t>
            </w:r>
          </w:p>
        </w:tc>
        <w:tc>
          <w:tcPr>
            <w:tcW w:w="1050" w:type="dxa"/>
          </w:tcPr>
          <w:p w:rsidR="007A643F" w:rsidRPr="001A2790" w:rsidRDefault="007A643F" w:rsidP="007A643F">
            <w:r>
              <w:t>Profit(R3)</w:t>
            </w:r>
          </w:p>
        </w:tc>
        <w:tc>
          <w:tcPr>
            <w:tcW w:w="1032" w:type="dxa"/>
          </w:tcPr>
          <w:p w:rsidR="007A643F" w:rsidRPr="001A2790" w:rsidRDefault="007A643F" w:rsidP="007A643F">
            <w:r>
              <w:t>Profit(R4)</w:t>
            </w:r>
          </w:p>
        </w:tc>
        <w:tc>
          <w:tcPr>
            <w:tcW w:w="1027" w:type="dxa"/>
          </w:tcPr>
          <w:p w:rsidR="007A643F" w:rsidRPr="001A2790" w:rsidRDefault="007A643F" w:rsidP="007A643F">
            <w:r>
              <w:t>CS(B1)</w:t>
            </w:r>
          </w:p>
        </w:tc>
        <w:tc>
          <w:tcPr>
            <w:tcW w:w="1005" w:type="dxa"/>
          </w:tcPr>
          <w:p w:rsidR="007A643F" w:rsidRPr="001A2790" w:rsidRDefault="007A643F" w:rsidP="007A643F"/>
        </w:tc>
      </w:tr>
      <w:tr w:rsidR="00C3367F" w:rsidRPr="00C3367F" w:rsidTr="007A643F">
        <w:tc>
          <w:tcPr>
            <w:tcW w:w="1147" w:type="dxa"/>
          </w:tcPr>
          <w:p w:rsidR="007A643F" w:rsidRPr="00C3367F" w:rsidRDefault="003A69F1" w:rsidP="007A643F">
            <w:pPr>
              <w:rPr>
                <w:color w:val="A6A6A6" w:themeColor="background1" w:themeShade="A6"/>
              </w:rPr>
            </w:pPr>
            <w:r w:rsidRPr="00C3367F">
              <w:rPr>
                <w:color w:val="A6A6A6" w:themeColor="background1" w:themeShade="A6"/>
              </w:rPr>
              <w:t>92.54</w:t>
            </w:r>
          </w:p>
        </w:tc>
        <w:tc>
          <w:tcPr>
            <w:tcW w:w="1147" w:type="dxa"/>
          </w:tcPr>
          <w:p w:rsidR="007A643F" w:rsidRPr="00C3367F" w:rsidRDefault="003A69F1" w:rsidP="007A643F">
            <w:pPr>
              <w:rPr>
                <w:color w:val="A6A6A6" w:themeColor="background1" w:themeShade="A6"/>
              </w:rPr>
            </w:pPr>
            <w:r w:rsidRPr="00C3367F">
              <w:rPr>
                <w:color w:val="A6A6A6" w:themeColor="background1" w:themeShade="A6"/>
              </w:rPr>
              <w:t>92.54</w:t>
            </w:r>
          </w:p>
        </w:tc>
        <w:tc>
          <w:tcPr>
            <w:tcW w:w="1142" w:type="dxa"/>
          </w:tcPr>
          <w:p w:rsidR="007A643F" w:rsidRPr="00C3367F" w:rsidRDefault="003A69F1" w:rsidP="007A643F">
            <w:pPr>
              <w:rPr>
                <w:color w:val="A6A6A6" w:themeColor="background1" w:themeShade="A6"/>
              </w:rPr>
            </w:pPr>
            <w:r w:rsidRPr="00C3367F">
              <w:rPr>
                <w:color w:val="A6A6A6" w:themeColor="background1" w:themeShade="A6"/>
              </w:rPr>
              <w:t>6.6</w:t>
            </w:r>
          </w:p>
        </w:tc>
        <w:tc>
          <w:tcPr>
            <w:tcW w:w="1080" w:type="dxa"/>
          </w:tcPr>
          <w:p w:rsidR="007A643F" w:rsidRPr="00C3367F" w:rsidRDefault="003A69F1" w:rsidP="007A643F">
            <w:pPr>
              <w:rPr>
                <w:color w:val="A6A6A6" w:themeColor="background1" w:themeShade="A6"/>
              </w:rPr>
            </w:pPr>
            <w:r w:rsidRPr="00C3367F">
              <w:rPr>
                <w:color w:val="A6A6A6" w:themeColor="background1" w:themeShade="A6"/>
              </w:rPr>
              <w:t>6.6</w:t>
            </w:r>
          </w:p>
        </w:tc>
        <w:tc>
          <w:tcPr>
            <w:tcW w:w="1050" w:type="dxa"/>
          </w:tcPr>
          <w:p w:rsidR="007A643F" w:rsidRPr="00C3367F" w:rsidRDefault="003A69F1" w:rsidP="007A643F">
            <w:pPr>
              <w:rPr>
                <w:color w:val="A6A6A6" w:themeColor="background1" w:themeShade="A6"/>
              </w:rPr>
            </w:pPr>
            <w:r w:rsidRPr="00C3367F">
              <w:rPr>
                <w:color w:val="A6A6A6" w:themeColor="background1" w:themeShade="A6"/>
              </w:rPr>
              <w:t>0</w:t>
            </w:r>
          </w:p>
        </w:tc>
        <w:tc>
          <w:tcPr>
            <w:tcW w:w="1032" w:type="dxa"/>
          </w:tcPr>
          <w:p w:rsidR="007A643F" w:rsidRPr="00C3367F" w:rsidRDefault="003A69F1" w:rsidP="007A643F">
            <w:pPr>
              <w:rPr>
                <w:color w:val="A6A6A6" w:themeColor="background1" w:themeShade="A6"/>
              </w:rPr>
            </w:pPr>
            <w:r w:rsidRPr="00C3367F">
              <w:rPr>
                <w:color w:val="A6A6A6" w:themeColor="background1" w:themeShade="A6"/>
              </w:rPr>
              <w:t>0</w:t>
            </w:r>
          </w:p>
        </w:tc>
        <w:tc>
          <w:tcPr>
            <w:tcW w:w="1027" w:type="dxa"/>
          </w:tcPr>
          <w:p w:rsidR="007A643F" w:rsidRPr="00C3367F" w:rsidRDefault="003A69F1" w:rsidP="007A643F">
            <w:pPr>
              <w:rPr>
                <w:color w:val="A6A6A6" w:themeColor="background1" w:themeShade="A6"/>
              </w:rPr>
            </w:pPr>
            <w:r w:rsidRPr="00C3367F">
              <w:rPr>
                <w:color w:val="A6A6A6" w:themeColor="background1" w:themeShade="A6"/>
              </w:rPr>
              <w:t>104.6</w:t>
            </w:r>
          </w:p>
        </w:tc>
        <w:tc>
          <w:tcPr>
            <w:tcW w:w="1005" w:type="dxa"/>
          </w:tcPr>
          <w:p w:rsidR="007A643F" w:rsidRPr="00C3367F" w:rsidRDefault="007A643F" w:rsidP="007A643F">
            <w:pPr>
              <w:rPr>
                <w:color w:val="A6A6A6" w:themeColor="background1" w:themeShade="A6"/>
              </w:rPr>
            </w:pPr>
          </w:p>
        </w:tc>
      </w:tr>
    </w:tbl>
    <w:p w:rsidR="00B1225A" w:rsidRDefault="00B1225A" w:rsidP="00B1225A">
      <w:pPr>
        <w:pStyle w:val="ListParagraph"/>
        <w:rPr>
          <w:lang w:val="en-US"/>
        </w:rPr>
      </w:pPr>
    </w:p>
    <w:p w:rsidR="00D81B06" w:rsidRDefault="00D81B06" w:rsidP="00B1225A">
      <w:pPr>
        <w:pStyle w:val="ListParagraph"/>
        <w:rPr>
          <w:lang w:val="en-US"/>
        </w:rPr>
      </w:pPr>
    </w:p>
    <w:p w:rsidR="003F03B2" w:rsidRDefault="00E31D46" w:rsidP="00B1225A">
      <w:pPr>
        <w:pStyle w:val="ListParagraph"/>
        <w:numPr>
          <w:ilvl w:val="0"/>
          <w:numId w:val="3"/>
        </w:numPr>
        <w:rPr>
          <w:lang w:val="en-US"/>
        </w:rPr>
      </w:pPr>
      <w:r>
        <w:rPr>
          <w:lang w:val="en-US"/>
        </w:rPr>
        <w:t>This</w:t>
      </w:r>
      <w:r w:rsidR="00A17825">
        <w:rPr>
          <w:lang w:val="en-US"/>
        </w:rPr>
        <w:t xml:space="preserve"> fast growing city is facing two problems: se</w:t>
      </w:r>
      <w:r w:rsidR="00DF272F">
        <w:rPr>
          <w:lang w:val="en-US"/>
        </w:rPr>
        <w:t>vere congestion and pollution at</w:t>
      </w:r>
      <w:r w:rsidR="00A17825">
        <w:rPr>
          <w:lang w:val="en-US"/>
        </w:rPr>
        <w:t xml:space="preserve"> the city center. To tackle these two problems, the authority came up with two measures: (a) a cordon toll will be charged </w:t>
      </w:r>
      <w:r w:rsidR="00855AE5">
        <w:rPr>
          <w:lang w:val="en-US"/>
        </w:rPr>
        <w:t>entering</w:t>
      </w:r>
      <w:r w:rsidR="00A17825">
        <w:rPr>
          <w:lang w:val="en-US"/>
        </w:rPr>
        <w:t xml:space="preserve"> the city center, (b)</w:t>
      </w:r>
      <w:r w:rsidR="00855AE5">
        <w:rPr>
          <w:lang w:val="en-US"/>
        </w:rPr>
        <w:t xml:space="preserve"> a relocation of the wholesale outlet malls and streets to the outskirt of the city, will be organized. How would you express these changes in the model?</w:t>
      </w:r>
    </w:p>
    <w:p w:rsidR="00855AE5" w:rsidRDefault="00855AE5" w:rsidP="00855AE5">
      <w:pPr>
        <w:pStyle w:val="ListParagraph"/>
        <w:rPr>
          <w:lang w:val="en-US"/>
        </w:rPr>
      </w:pPr>
    </w:p>
    <w:p w:rsidR="00855AE5" w:rsidRPr="00C3367F" w:rsidRDefault="00855AE5" w:rsidP="00855AE5">
      <w:pPr>
        <w:pStyle w:val="ListParagraph"/>
        <w:rPr>
          <w:color w:val="A6A6A6" w:themeColor="background1" w:themeShade="A6"/>
          <w:lang w:val="en-US"/>
        </w:rPr>
      </w:pPr>
      <w:r w:rsidRPr="00C3367F">
        <w:rPr>
          <w:color w:val="A6A6A6" w:themeColor="background1" w:themeShade="A6"/>
          <w:lang w:val="en-US"/>
        </w:rPr>
        <w:t>For the manufacturers, they face a decrease in transaction costs because they do not have transport the products into the city center</w:t>
      </w:r>
      <w:r w:rsidR="00086E93" w:rsidRPr="00C3367F">
        <w:rPr>
          <w:color w:val="A6A6A6" w:themeColor="background1" w:themeShade="A6"/>
          <w:lang w:val="en-US"/>
        </w:rPr>
        <w:t>, and in general the operating cost of the wholesale outlets is lower after the move (e.g. wages, rents).</w:t>
      </w:r>
    </w:p>
    <w:p w:rsidR="00086E93" w:rsidRPr="00C3367F" w:rsidRDefault="004B5629" w:rsidP="00086E93">
      <w:pPr>
        <w:rPr>
          <w:rFonts w:eastAsiaTheme="minorEastAsia"/>
          <w:color w:val="A6A6A6" w:themeColor="background1" w:themeShade="A6"/>
        </w:rPr>
      </w:pPr>
      <m:oMathPara>
        <m:oMath>
          <m:sSub>
            <m:sSubPr>
              <m:ctrlPr>
                <w:rPr>
                  <w:rFonts w:ascii="Cambria Math" w:hAnsi="Cambria Math"/>
                  <w:i/>
                  <w:color w:val="A6A6A6" w:themeColor="background1" w:themeShade="A6"/>
                </w:rPr>
              </m:ctrlPr>
            </m:sSubPr>
            <m:e>
              <m:r>
                <w:rPr>
                  <w:rFonts w:ascii="Cambria Math" w:hAnsi="Cambria Math"/>
                  <w:color w:val="A6A6A6" w:themeColor="background1" w:themeShade="A6"/>
                </w:rPr>
                <m:t>c</m:t>
              </m:r>
            </m:e>
            <m:sub>
              <m:r>
                <w:rPr>
                  <w:rFonts w:ascii="Cambria Math" w:hAnsi="Cambria Math"/>
                  <w:color w:val="A6A6A6" w:themeColor="background1" w:themeShade="A6"/>
                </w:rPr>
                <m:t>M1R1</m:t>
              </m:r>
            </m:sub>
          </m:sSub>
          <m:r>
            <w:rPr>
              <w:rFonts w:ascii="Cambria Math" w:hAnsi="Cambria Math"/>
              <w:color w:val="A6A6A6" w:themeColor="background1" w:themeShade="A6"/>
            </w:rPr>
            <m:t>=2+2</m:t>
          </m:r>
          <m:sSub>
            <m:sSubPr>
              <m:ctrlPr>
                <w:rPr>
                  <w:rFonts w:ascii="Cambria Math" w:hAnsi="Cambria Math"/>
                  <w:i/>
                  <w:color w:val="A6A6A6" w:themeColor="background1" w:themeShade="A6"/>
                </w:rPr>
              </m:ctrlPr>
            </m:sSubPr>
            <m:e>
              <m:r>
                <w:rPr>
                  <w:rFonts w:ascii="Cambria Math" w:hAnsi="Cambria Math"/>
                  <w:color w:val="A6A6A6" w:themeColor="background1" w:themeShade="A6"/>
                </w:rPr>
                <m:t>q</m:t>
              </m:r>
            </m:e>
            <m:sub>
              <m:r>
                <w:rPr>
                  <w:rFonts w:ascii="Cambria Math" w:hAnsi="Cambria Math"/>
                  <w:color w:val="A6A6A6" w:themeColor="background1" w:themeShade="A6"/>
                </w:rPr>
                <m:t>M1R1</m:t>
              </m:r>
            </m:sub>
          </m:sSub>
        </m:oMath>
      </m:oMathPara>
    </w:p>
    <w:p w:rsidR="00086E93" w:rsidRPr="00C3367F" w:rsidRDefault="004B5629" w:rsidP="00086E93">
      <w:pPr>
        <w:rPr>
          <w:rFonts w:eastAsiaTheme="minorEastAsia"/>
          <w:color w:val="A6A6A6" w:themeColor="background1" w:themeShade="A6"/>
        </w:rPr>
      </w:pPr>
      <m:oMathPara>
        <m:oMath>
          <m:sSub>
            <m:sSubPr>
              <m:ctrlPr>
                <w:rPr>
                  <w:rFonts w:ascii="Cambria Math" w:hAnsi="Cambria Math"/>
                  <w:i/>
                  <w:color w:val="A6A6A6" w:themeColor="background1" w:themeShade="A6"/>
                </w:rPr>
              </m:ctrlPr>
            </m:sSubPr>
            <m:e>
              <m:r>
                <w:rPr>
                  <w:rFonts w:ascii="Cambria Math" w:hAnsi="Cambria Math"/>
                  <w:color w:val="A6A6A6" w:themeColor="background1" w:themeShade="A6"/>
                </w:rPr>
                <m:t>c</m:t>
              </m:r>
            </m:e>
            <m:sub>
              <m:r>
                <w:rPr>
                  <w:rFonts w:ascii="Cambria Math" w:hAnsi="Cambria Math"/>
                  <w:color w:val="A6A6A6" w:themeColor="background1" w:themeShade="A6"/>
                </w:rPr>
                <m:t>M1R2</m:t>
              </m:r>
            </m:sub>
          </m:sSub>
          <m:r>
            <w:rPr>
              <w:rFonts w:ascii="Cambria Math" w:hAnsi="Cambria Math"/>
              <w:color w:val="A6A6A6" w:themeColor="background1" w:themeShade="A6"/>
            </w:rPr>
            <m:t>=2+2</m:t>
          </m:r>
          <m:sSub>
            <m:sSubPr>
              <m:ctrlPr>
                <w:rPr>
                  <w:rFonts w:ascii="Cambria Math" w:hAnsi="Cambria Math"/>
                  <w:i/>
                  <w:color w:val="A6A6A6" w:themeColor="background1" w:themeShade="A6"/>
                </w:rPr>
              </m:ctrlPr>
            </m:sSubPr>
            <m:e>
              <m:r>
                <w:rPr>
                  <w:rFonts w:ascii="Cambria Math" w:hAnsi="Cambria Math"/>
                  <w:color w:val="A6A6A6" w:themeColor="background1" w:themeShade="A6"/>
                </w:rPr>
                <m:t>q</m:t>
              </m:r>
            </m:e>
            <m:sub>
              <m:r>
                <w:rPr>
                  <w:rFonts w:ascii="Cambria Math" w:hAnsi="Cambria Math"/>
                  <w:color w:val="A6A6A6" w:themeColor="background1" w:themeShade="A6"/>
                </w:rPr>
                <m:t>M1R2</m:t>
              </m:r>
            </m:sub>
          </m:sSub>
        </m:oMath>
      </m:oMathPara>
    </w:p>
    <w:p w:rsidR="00086E93" w:rsidRPr="00C3367F" w:rsidRDefault="004B5629" w:rsidP="00086E93">
      <w:pPr>
        <w:rPr>
          <w:rFonts w:eastAsiaTheme="minorEastAsia"/>
          <w:color w:val="A6A6A6" w:themeColor="background1" w:themeShade="A6"/>
        </w:rPr>
      </w:pPr>
      <m:oMathPara>
        <m:oMath>
          <m:sSub>
            <m:sSubPr>
              <m:ctrlPr>
                <w:rPr>
                  <w:rFonts w:ascii="Cambria Math" w:hAnsi="Cambria Math"/>
                  <w:i/>
                  <w:color w:val="A6A6A6" w:themeColor="background1" w:themeShade="A6"/>
                </w:rPr>
              </m:ctrlPr>
            </m:sSubPr>
            <m:e>
              <m:r>
                <w:rPr>
                  <w:rFonts w:ascii="Cambria Math" w:hAnsi="Cambria Math"/>
                  <w:color w:val="A6A6A6" w:themeColor="background1" w:themeShade="A6"/>
                </w:rPr>
                <m:t>c</m:t>
              </m:r>
            </m:e>
            <m:sub>
              <m:r>
                <w:rPr>
                  <w:rFonts w:ascii="Cambria Math" w:hAnsi="Cambria Math"/>
                  <w:color w:val="A6A6A6" w:themeColor="background1" w:themeShade="A6"/>
                </w:rPr>
                <m:t>M2R1</m:t>
              </m:r>
            </m:sub>
          </m:sSub>
          <m:r>
            <w:rPr>
              <w:rFonts w:ascii="Cambria Math" w:hAnsi="Cambria Math"/>
              <w:color w:val="A6A6A6" w:themeColor="background1" w:themeShade="A6"/>
            </w:rPr>
            <m:t>=2+2</m:t>
          </m:r>
          <m:sSub>
            <m:sSubPr>
              <m:ctrlPr>
                <w:rPr>
                  <w:rFonts w:ascii="Cambria Math" w:hAnsi="Cambria Math"/>
                  <w:i/>
                  <w:color w:val="A6A6A6" w:themeColor="background1" w:themeShade="A6"/>
                </w:rPr>
              </m:ctrlPr>
            </m:sSubPr>
            <m:e>
              <m:r>
                <w:rPr>
                  <w:rFonts w:ascii="Cambria Math" w:hAnsi="Cambria Math"/>
                  <w:color w:val="A6A6A6" w:themeColor="background1" w:themeShade="A6"/>
                </w:rPr>
                <m:t>q</m:t>
              </m:r>
            </m:e>
            <m:sub>
              <m:r>
                <w:rPr>
                  <w:rFonts w:ascii="Cambria Math" w:hAnsi="Cambria Math"/>
                  <w:color w:val="A6A6A6" w:themeColor="background1" w:themeShade="A6"/>
                </w:rPr>
                <m:t>M2R1</m:t>
              </m:r>
            </m:sub>
          </m:sSub>
        </m:oMath>
      </m:oMathPara>
    </w:p>
    <w:p w:rsidR="00086E93" w:rsidRPr="00C3367F" w:rsidRDefault="004B5629" w:rsidP="00086E93">
      <w:pPr>
        <w:rPr>
          <w:rFonts w:eastAsiaTheme="minorEastAsia"/>
          <w:color w:val="A6A6A6" w:themeColor="background1" w:themeShade="A6"/>
        </w:rPr>
      </w:pPr>
      <m:oMathPara>
        <m:oMath>
          <m:sSub>
            <m:sSubPr>
              <m:ctrlPr>
                <w:rPr>
                  <w:rFonts w:ascii="Cambria Math" w:hAnsi="Cambria Math"/>
                  <w:i/>
                  <w:color w:val="A6A6A6" w:themeColor="background1" w:themeShade="A6"/>
                </w:rPr>
              </m:ctrlPr>
            </m:sSubPr>
            <m:e>
              <m:r>
                <w:rPr>
                  <w:rFonts w:ascii="Cambria Math" w:hAnsi="Cambria Math"/>
                  <w:color w:val="A6A6A6" w:themeColor="background1" w:themeShade="A6"/>
                </w:rPr>
                <m:t>c</m:t>
              </m:r>
            </m:e>
            <m:sub>
              <m:r>
                <w:rPr>
                  <w:rFonts w:ascii="Cambria Math" w:hAnsi="Cambria Math"/>
                  <w:color w:val="A6A6A6" w:themeColor="background1" w:themeShade="A6"/>
                </w:rPr>
                <m:t>M2R2</m:t>
              </m:r>
            </m:sub>
          </m:sSub>
          <m:r>
            <w:rPr>
              <w:rFonts w:ascii="Cambria Math" w:hAnsi="Cambria Math"/>
              <w:color w:val="A6A6A6" w:themeColor="background1" w:themeShade="A6"/>
            </w:rPr>
            <m:t>=2+2</m:t>
          </m:r>
          <m:sSub>
            <m:sSubPr>
              <m:ctrlPr>
                <w:rPr>
                  <w:rFonts w:ascii="Cambria Math" w:hAnsi="Cambria Math"/>
                  <w:i/>
                  <w:color w:val="A6A6A6" w:themeColor="background1" w:themeShade="A6"/>
                </w:rPr>
              </m:ctrlPr>
            </m:sSubPr>
            <m:e>
              <m:r>
                <w:rPr>
                  <w:rFonts w:ascii="Cambria Math" w:hAnsi="Cambria Math"/>
                  <w:color w:val="A6A6A6" w:themeColor="background1" w:themeShade="A6"/>
                </w:rPr>
                <m:t>q</m:t>
              </m:r>
            </m:e>
            <m:sub>
              <m:r>
                <w:rPr>
                  <w:rFonts w:ascii="Cambria Math" w:hAnsi="Cambria Math"/>
                  <w:color w:val="A6A6A6" w:themeColor="background1" w:themeShade="A6"/>
                </w:rPr>
                <m:t>M2R2</m:t>
              </m:r>
            </m:sub>
          </m:sSub>
        </m:oMath>
      </m:oMathPara>
    </w:p>
    <w:p w:rsidR="00086E93" w:rsidRPr="00C3367F" w:rsidRDefault="00086E93" w:rsidP="003F03B2">
      <w:pPr>
        <w:pStyle w:val="ListParagraph"/>
        <w:rPr>
          <w:color w:val="A6A6A6" w:themeColor="background1" w:themeShade="A6"/>
          <w:lang w:val="en-US"/>
        </w:rPr>
      </w:pPr>
      <w:r w:rsidRPr="00C3367F">
        <w:rPr>
          <w:color w:val="A6A6A6" w:themeColor="background1" w:themeShade="A6"/>
          <w:lang w:val="en-US"/>
        </w:rPr>
        <w:t>Also, the consumers can no longer directly purchase from the manufacturers through wholesale outlets.</w:t>
      </w:r>
    </w:p>
    <w:p w:rsidR="00086E93" w:rsidRPr="00C3367F" w:rsidRDefault="00086E93" w:rsidP="003F03B2">
      <w:pPr>
        <w:pStyle w:val="ListParagraph"/>
        <w:rPr>
          <w:color w:val="A6A6A6" w:themeColor="background1" w:themeShade="A6"/>
          <w:lang w:val="en-US"/>
        </w:rPr>
      </w:pPr>
      <w:r w:rsidRPr="00C3367F">
        <w:rPr>
          <w:color w:val="A6A6A6" w:themeColor="background1" w:themeShade="A6"/>
          <w:lang w:val="en-US"/>
        </w:rPr>
        <w:t xml:space="preserve">For the retailers, they face an increase in handling costs because they have to pay the cordon toll to deliver the goods from the wholesale points to their shops in the city center. The distance traveled also increases but congestion might be less serious. </w:t>
      </w:r>
    </w:p>
    <w:p w:rsidR="00086E93" w:rsidRPr="00C3367F" w:rsidRDefault="004B5629" w:rsidP="007C4277">
      <w:pPr>
        <w:ind w:left="360"/>
        <w:rPr>
          <w:color w:val="A6A6A6" w:themeColor="background1" w:themeShade="A6"/>
        </w:rPr>
      </w:pPr>
      <m:oMathPara>
        <m:oMath>
          <m:sSub>
            <m:sSubPr>
              <m:ctrlPr>
                <w:rPr>
                  <w:rFonts w:ascii="Cambria Math" w:hAnsi="Cambria Math"/>
                  <w:i/>
                  <w:color w:val="A6A6A6" w:themeColor="background1" w:themeShade="A6"/>
                </w:rPr>
              </m:ctrlPr>
            </m:sSubPr>
            <m:e>
              <m:r>
                <w:rPr>
                  <w:rFonts w:ascii="Cambria Math" w:hAnsi="Cambria Math"/>
                  <w:color w:val="A6A6A6" w:themeColor="background1" w:themeShade="A6"/>
                </w:rPr>
                <m:t>c</m:t>
              </m:r>
            </m:e>
            <m:sub>
              <m:r>
                <w:rPr>
                  <w:rFonts w:ascii="Cambria Math" w:hAnsi="Cambria Math"/>
                  <w:color w:val="A6A6A6" w:themeColor="background1" w:themeShade="A6"/>
                </w:rPr>
                <m:t>R1</m:t>
              </m:r>
            </m:sub>
          </m:sSub>
          <m:r>
            <w:rPr>
              <w:rFonts w:ascii="Cambria Math" w:hAnsi="Cambria Math"/>
              <w:color w:val="A6A6A6" w:themeColor="background1" w:themeShade="A6"/>
            </w:rPr>
            <m:t>=4</m:t>
          </m:r>
          <m:sSub>
            <m:sSubPr>
              <m:ctrlPr>
                <w:rPr>
                  <w:rFonts w:ascii="Cambria Math" w:hAnsi="Cambria Math"/>
                  <w:i/>
                  <w:color w:val="A6A6A6" w:themeColor="background1" w:themeShade="A6"/>
                </w:rPr>
              </m:ctrlPr>
            </m:sSubPr>
            <m:e>
              <m:r>
                <w:rPr>
                  <w:rFonts w:ascii="Cambria Math" w:hAnsi="Cambria Math"/>
                  <w:color w:val="A6A6A6" w:themeColor="background1" w:themeShade="A6"/>
                </w:rPr>
                <m:t>(q</m:t>
              </m:r>
            </m:e>
            <m:sub>
              <m:r>
                <w:rPr>
                  <w:rFonts w:ascii="Cambria Math" w:hAnsi="Cambria Math"/>
                  <w:color w:val="A6A6A6" w:themeColor="background1" w:themeShade="A6"/>
                </w:rPr>
                <m:t>M1R1</m:t>
              </m:r>
            </m:sub>
          </m:sSub>
          <m:r>
            <w:rPr>
              <w:rFonts w:ascii="Cambria Math" w:hAnsi="Cambria Math"/>
              <w:color w:val="A6A6A6" w:themeColor="background1" w:themeShade="A6"/>
            </w:rPr>
            <m:t>+</m:t>
          </m:r>
          <m:sSub>
            <m:sSubPr>
              <m:ctrlPr>
                <w:rPr>
                  <w:rFonts w:ascii="Cambria Math" w:hAnsi="Cambria Math"/>
                  <w:i/>
                  <w:color w:val="A6A6A6" w:themeColor="background1" w:themeShade="A6"/>
                </w:rPr>
              </m:ctrlPr>
            </m:sSubPr>
            <m:e>
              <m:r>
                <w:rPr>
                  <w:rFonts w:ascii="Cambria Math" w:hAnsi="Cambria Math"/>
                  <w:color w:val="A6A6A6" w:themeColor="background1" w:themeShade="A6"/>
                </w:rPr>
                <m:t>q</m:t>
              </m:r>
            </m:e>
            <m:sub>
              <m:r>
                <w:rPr>
                  <w:rFonts w:ascii="Cambria Math" w:hAnsi="Cambria Math"/>
                  <w:color w:val="A6A6A6" w:themeColor="background1" w:themeShade="A6"/>
                </w:rPr>
                <m:t>M2R1</m:t>
              </m:r>
            </m:sub>
          </m:sSub>
          <m:r>
            <w:rPr>
              <w:rFonts w:ascii="Cambria Math" w:hAnsi="Cambria Math"/>
              <w:color w:val="A6A6A6" w:themeColor="background1" w:themeShade="A6"/>
            </w:rPr>
            <m:t>)</m:t>
          </m:r>
        </m:oMath>
      </m:oMathPara>
    </w:p>
    <w:p w:rsidR="00086E93" w:rsidRPr="00C3367F" w:rsidRDefault="004B5629" w:rsidP="007C4277">
      <w:pPr>
        <w:ind w:left="1080"/>
        <w:rPr>
          <w:rFonts w:eastAsiaTheme="minorEastAsia"/>
          <w:color w:val="A6A6A6" w:themeColor="background1" w:themeShade="A6"/>
        </w:rPr>
      </w:pPr>
      <m:oMathPara>
        <m:oMath>
          <m:sSub>
            <m:sSubPr>
              <m:ctrlPr>
                <w:rPr>
                  <w:rFonts w:ascii="Cambria Math" w:hAnsi="Cambria Math"/>
                  <w:i/>
                  <w:color w:val="A6A6A6" w:themeColor="background1" w:themeShade="A6"/>
                </w:rPr>
              </m:ctrlPr>
            </m:sSubPr>
            <m:e>
              <m:r>
                <w:rPr>
                  <w:rFonts w:ascii="Cambria Math" w:hAnsi="Cambria Math"/>
                  <w:color w:val="A6A6A6" w:themeColor="background1" w:themeShade="A6"/>
                </w:rPr>
                <m:t>c</m:t>
              </m:r>
            </m:e>
            <m:sub>
              <m:r>
                <w:rPr>
                  <w:rFonts w:ascii="Cambria Math" w:hAnsi="Cambria Math"/>
                  <w:color w:val="A6A6A6" w:themeColor="background1" w:themeShade="A6"/>
                </w:rPr>
                <m:t>R2</m:t>
              </m:r>
            </m:sub>
          </m:sSub>
          <m:r>
            <w:rPr>
              <w:rFonts w:ascii="Cambria Math" w:hAnsi="Cambria Math"/>
              <w:color w:val="A6A6A6" w:themeColor="background1" w:themeShade="A6"/>
            </w:rPr>
            <m:t>=4(</m:t>
          </m:r>
          <m:sSub>
            <m:sSubPr>
              <m:ctrlPr>
                <w:rPr>
                  <w:rFonts w:ascii="Cambria Math" w:hAnsi="Cambria Math"/>
                  <w:i/>
                  <w:color w:val="A6A6A6" w:themeColor="background1" w:themeShade="A6"/>
                </w:rPr>
              </m:ctrlPr>
            </m:sSubPr>
            <m:e>
              <m:r>
                <w:rPr>
                  <w:rFonts w:ascii="Cambria Math" w:hAnsi="Cambria Math"/>
                  <w:color w:val="A6A6A6" w:themeColor="background1" w:themeShade="A6"/>
                </w:rPr>
                <m:t>q</m:t>
              </m:r>
            </m:e>
            <m:sub>
              <m:r>
                <w:rPr>
                  <w:rFonts w:ascii="Cambria Math" w:hAnsi="Cambria Math"/>
                  <w:color w:val="A6A6A6" w:themeColor="background1" w:themeShade="A6"/>
                </w:rPr>
                <m:t>M1R2</m:t>
              </m:r>
            </m:sub>
          </m:sSub>
          <m:r>
            <w:rPr>
              <w:rFonts w:ascii="Cambria Math" w:hAnsi="Cambria Math"/>
              <w:color w:val="A6A6A6" w:themeColor="background1" w:themeShade="A6"/>
            </w:rPr>
            <m:t>+</m:t>
          </m:r>
          <m:sSub>
            <m:sSubPr>
              <m:ctrlPr>
                <w:rPr>
                  <w:rFonts w:ascii="Cambria Math" w:hAnsi="Cambria Math"/>
                  <w:i/>
                  <w:color w:val="A6A6A6" w:themeColor="background1" w:themeShade="A6"/>
                </w:rPr>
              </m:ctrlPr>
            </m:sSubPr>
            <m:e>
              <m:r>
                <w:rPr>
                  <w:rFonts w:ascii="Cambria Math" w:hAnsi="Cambria Math"/>
                  <w:color w:val="A6A6A6" w:themeColor="background1" w:themeShade="A6"/>
                </w:rPr>
                <m:t>q</m:t>
              </m:r>
            </m:e>
            <m:sub>
              <m:r>
                <w:rPr>
                  <w:rFonts w:ascii="Cambria Math" w:hAnsi="Cambria Math"/>
                  <w:color w:val="A6A6A6" w:themeColor="background1" w:themeShade="A6"/>
                </w:rPr>
                <m:t>M2R2</m:t>
              </m:r>
            </m:sub>
          </m:sSub>
          <m:r>
            <m:rPr>
              <m:sty m:val="p"/>
            </m:rPr>
            <w:rPr>
              <w:rFonts w:ascii="Cambria Math"/>
              <w:color w:val="A6A6A6" w:themeColor="background1" w:themeShade="A6"/>
            </w:rPr>
            <m:t>)</m:t>
          </m:r>
        </m:oMath>
      </m:oMathPara>
    </w:p>
    <w:p w:rsidR="007C4277" w:rsidRPr="00C3367F" w:rsidRDefault="007C4277" w:rsidP="007C4277">
      <w:pPr>
        <w:rPr>
          <w:color w:val="A6A6A6" w:themeColor="background1" w:themeShade="A6"/>
        </w:rPr>
      </w:pPr>
    </w:p>
    <w:p w:rsidR="00C76931" w:rsidRPr="00C3367F" w:rsidRDefault="00C76931" w:rsidP="007C4277">
      <w:pPr>
        <w:rPr>
          <w:color w:val="A6A6A6" w:themeColor="background1" w:themeShade="A6"/>
        </w:rPr>
      </w:pPr>
    </w:p>
    <w:p w:rsidR="00B1225A" w:rsidRDefault="003F03B2" w:rsidP="003F03B2">
      <w:pPr>
        <w:pStyle w:val="ListParagraph"/>
        <w:rPr>
          <w:lang w:val="en-US"/>
        </w:rPr>
      </w:pPr>
      <w:r>
        <w:rPr>
          <w:lang w:val="en-US"/>
        </w:rPr>
        <w:t>Solve the VI problem again and fill in the following table:</w:t>
      </w:r>
    </w:p>
    <w:p w:rsidR="00D81B06" w:rsidRPr="003F03B2" w:rsidRDefault="00D81B06" w:rsidP="003F03B2">
      <w:pPr>
        <w:pStyle w:val="ListParagraph"/>
        <w:rPr>
          <w:rFonts w:eastAsiaTheme="minorEastAsia"/>
          <w:lang w:val="en-US"/>
        </w:rPr>
      </w:pPr>
    </w:p>
    <w:tbl>
      <w:tblPr>
        <w:tblStyle w:val="TableGrid"/>
        <w:tblW w:w="0" w:type="auto"/>
        <w:tblInd w:w="720" w:type="dxa"/>
        <w:tblLook w:val="04A0" w:firstRow="1" w:lastRow="0" w:firstColumn="1" w:lastColumn="0" w:noHBand="0" w:noVBand="1"/>
      </w:tblPr>
      <w:tblGrid>
        <w:gridCol w:w="1147"/>
        <w:gridCol w:w="1147"/>
        <w:gridCol w:w="1136"/>
        <w:gridCol w:w="1080"/>
        <w:gridCol w:w="1079"/>
        <w:gridCol w:w="1079"/>
        <w:gridCol w:w="1004"/>
        <w:gridCol w:w="958"/>
      </w:tblGrid>
      <w:tr w:rsidR="00C76931" w:rsidTr="007F61AA">
        <w:tc>
          <w:tcPr>
            <w:tcW w:w="1147" w:type="dxa"/>
          </w:tcPr>
          <w:p w:rsidR="00C76931" w:rsidRPr="001A2790" w:rsidRDefault="00C76931" w:rsidP="007F61AA">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M1R1</m:t>
                    </m:r>
                  </m:sub>
                </m:sSub>
              </m:oMath>
            </m:oMathPara>
          </w:p>
        </w:tc>
        <w:tc>
          <w:tcPr>
            <w:tcW w:w="1147" w:type="dxa"/>
          </w:tcPr>
          <w:p w:rsidR="00C76931" w:rsidRPr="001A2790" w:rsidRDefault="00C76931" w:rsidP="007F61AA">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M1R2</m:t>
                    </m:r>
                  </m:sub>
                </m:sSub>
              </m:oMath>
            </m:oMathPara>
          </w:p>
        </w:tc>
        <w:tc>
          <w:tcPr>
            <w:tcW w:w="1142" w:type="dxa"/>
          </w:tcPr>
          <w:p w:rsidR="00C76931" w:rsidRPr="001A2790" w:rsidRDefault="00C76931" w:rsidP="007F61AA">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M1R3</m:t>
                    </m:r>
                  </m:sub>
                </m:sSub>
              </m:oMath>
            </m:oMathPara>
          </w:p>
        </w:tc>
        <w:tc>
          <w:tcPr>
            <w:tcW w:w="1080" w:type="dxa"/>
          </w:tcPr>
          <w:p w:rsidR="00C76931" w:rsidRPr="001A2790" w:rsidRDefault="00C76931" w:rsidP="007F61AA">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M1R4</m:t>
                    </m:r>
                  </m:sub>
                </m:sSub>
              </m:oMath>
            </m:oMathPara>
          </w:p>
        </w:tc>
        <w:tc>
          <w:tcPr>
            <w:tcW w:w="1050" w:type="dxa"/>
          </w:tcPr>
          <w:p w:rsidR="00C76931" w:rsidRPr="001A2790" w:rsidRDefault="00C76931" w:rsidP="007F61AA">
            <m:oMathPara>
              <m:oMath>
                <m:sSub>
                  <m:sSubPr>
                    <m:ctrlPr>
                      <w:rPr>
                        <w:rFonts w:ascii="Cambria Math" w:hAnsi="Cambria Math"/>
                        <w:i/>
                      </w:rPr>
                    </m:ctrlPr>
                  </m:sSubPr>
                  <m:e>
                    <m:r>
                      <w:rPr>
                        <w:rFonts w:ascii="Cambria Math" w:hAnsi="Cambria Math"/>
                      </w:rPr>
                      <m:t>ρ</m:t>
                    </m:r>
                  </m:e>
                  <m:sub>
                    <m:r>
                      <w:rPr>
                        <w:rFonts w:ascii="Cambria Math" w:hAnsi="Cambria Math"/>
                      </w:rPr>
                      <m:t>R1</m:t>
                    </m:r>
                  </m:sub>
                </m:sSub>
              </m:oMath>
            </m:oMathPara>
          </w:p>
        </w:tc>
        <w:tc>
          <w:tcPr>
            <w:tcW w:w="1032" w:type="dxa"/>
          </w:tcPr>
          <w:p w:rsidR="00C76931" w:rsidRPr="001A2790" w:rsidRDefault="00C76931" w:rsidP="007F61AA">
            <m:oMathPara>
              <m:oMath>
                <m:sSub>
                  <m:sSubPr>
                    <m:ctrlPr>
                      <w:rPr>
                        <w:rFonts w:ascii="Cambria Math" w:hAnsi="Cambria Math"/>
                        <w:i/>
                      </w:rPr>
                    </m:ctrlPr>
                  </m:sSubPr>
                  <m:e>
                    <m:r>
                      <w:rPr>
                        <w:rFonts w:ascii="Cambria Math" w:hAnsi="Cambria Math"/>
                      </w:rPr>
                      <m:t>ρ</m:t>
                    </m:r>
                  </m:e>
                  <m:sub>
                    <m:r>
                      <w:rPr>
                        <w:rFonts w:ascii="Cambria Math" w:hAnsi="Cambria Math"/>
                      </w:rPr>
                      <m:t>R2</m:t>
                    </m:r>
                  </m:sub>
                </m:sSub>
              </m:oMath>
            </m:oMathPara>
          </w:p>
        </w:tc>
        <w:tc>
          <w:tcPr>
            <w:tcW w:w="1027" w:type="dxa"/>
          </w:tcPr>
          <w:p w:rsidR="00C76931" w:rsidRPr="001A2790" w:rsidRDefault="00C76931" w:rsidP="007F61AA">
            <m:oMathPara>
              <m:oMath>
                <m:sSub>
                  <m:sSubPr>
                    <m:ctrlPr>
                      <w:rPr>
                        <w:rFonts w:ascii="Cambria Math" w:hAnsi="Cambria Math"/>
                        <w:i/>
                      </w:rPr>
                    </m:ctrlPr>
                  </m:sSubPr>
                  <m:e>
                    <m:r>
                      <w:rPr>
                        <w:rFonts w:ascii="Cambria Math" w:hAnsi="Cambria Math"/>
                      </w:rPr>
                      <m:t>ρ</m:t>
                    </m:r>
                  </m:e>
                  <m:sub>
                    <m:r>
                      <w:rPr>
                        <w:rFonts w:ascii="Cambria Math" w:hAnsi="Cambria Math"/>
                      </w:rPr>
                      <m:t>R3</m:t>
                    </m:r>
                  </m:sub>
                </m:sSub>
              </m:oMath>
            </m:oMathPara>
          </w:p>
        </w:tc>
        <w:tc>
          <w:tcPr>
            <w:tcW w:w="1005" w:type="dxa"/>
          </w:tcPr>
          <w:p w:rsidR="00C76931" w:rsidRPr="001A2790" w:rsidRDefault="00C76931" w:rsidP="007F61AA">
            <m:oMathPara>
              <m:oMath>
                <m:sSub>
                  <m:sSubPr>
                    <m:ctrlPr>
                      <w:rPr>
                        <w:rFonts w:ascii="Cambria Math" w:hAnsi="Cambria Math"/>
                        <w:i/>
                      </w:rPr>
                    </m:ctrlPr>
                  </m:sSubPr>
                  <m:e>
                    <m:r>
                      <w:rPr>
                        <w:rFonts w:ascii="Cambria Math" w:hAnsi="Cambria Math"/>
                      </w:rPr>
                      <m:t>ρ</m:t>
                    </m:r>
                  </m:e>
                  <m:sub>
                    <m:r>
                      <w:rPr>
                        <w:rFonts w:ascii="Cambria Math" w:hAnsi="Cambria Math"/>
                      </w:rPr>
                      <m:t>R4</m:t>
                    </m:r>
                  </m:sub>
                </m:sSub>
              </m:oMath>
            </m:oMathPara>
          </w:p>
        </w:tc>
      </w:tr>
      <w:tr w:rsidR="00C3367F" w:rsidRPr="00C3367F" w:rsidTr="007F61AA">
        <w:tc>
          <w:tcPr>
            <w:tcW w:w="1147" w:type="dxa"/>
          </w:tcPr>
          <w:p w:rsidR="00C76931" w:rsidRPr="00C3367F" w:rsidRDefault="003A69F1" w:rsidP="007F61AA">
            <w:pPr>
              <w:rPr>
                <w:color w:val="A6A6A6" w:themeColor="background1" w:themeShade="A6"/>
              </w:rPr>
            </w:pPr>
            <w:r w:rsidRPr="00C3367F">
              <w:rPr>
                <w:color w:val="A6A6A6" w:themeColor="background1" w:themeShade="A6"/>
              </w:rPr>
              <w:t>1.57</w:t>
            </w:r>
          </w:p>
        </w:tc>
        <w:tc>
          <w:tcPr>
            <w:tcW w:w="1147" w:type="dxa"/>
          </w:tcPr>
          <w:p w:rsidR="00C76931" w:rsidRPr="00C3367F" w:rsidRDefault="003A69F1" w:rsidP="003A69F1">
            <w:pPr>
              <w:rPr>
                <w:color w:val="A6A6A6" w:themeColor="background1" w:themeShade="A6"/>
              </w:rPr>
            </w:pPr>
            <w:r w:rsidRPr="00C3367F">
              <w:rPr>
                <w:color w:val="A6A6A6" w:themeColor="background1" w:themeShade="A6"/>
              </w:rPr>
              <w:t>1.57</w:t>
            </w:r>
          </w:p>
        </w:tc>
        <w:tc>
          <w:tcPr>
            <w:tcW w:w="1142" w:type="dxa"/>
          </w:tcPr>
          <w:p w:rsidR="00C76931" w:rsidRPr="00C3367F" w:rsidRDefault="00A551FD" w:rsidP="007F61AA">
            <w:pPr>
              <w:rPr>
                <w:color w:val="A6A6A6" w:themeColor="background1" w:themeShade="A6"/>
              </w:rPr>
            </w:pPr>
            <w:r>
              <w:rPr>
                <w:color w:val="A6A6A6" w:themeColor="background1" w:themeShade="A6"/>
              </w:rPr>
              <w:t>--</w:t>
            </w:r>
          </w:p>
        </w:tc>
        <w:tc>
          <w:tcPr>
            <w:tcW w:w="1080" w:type="dxa"/>
          </w:tcPr>
          <w:p w:rsidR="00C76931" w:rsidRPr="00C3367F" w:rsidRDefault="00A551FD" w:rsidP="007F61AA">
            <w:pPr>
              <w:rPr>
                <w:color w:val="A6A6A6" w:themeColor="background1" w:themeShade="A6"/>
              </w:rPr>
            </w:pPr>
            <w:r>
              <w:rPr>
                <w:color w:val="A6A6A6" w:themeColor="background1" w:themeShade="A6"/>
              </w:rPr>
              <w:t>--</w:t>
            </w:r>
          </w:p>
        </w:tc>
        <w:tc>
          <w:tcPr>
            <w:tcW w:w="1050" w:type="dxa"/>
          </w:tcPr>
          <w:p w:rsidR="00C76931" w:rsidRPr="00C3367F" w:rsidRDefault="003A69F1" w:rsidP="007F61AA">
            <w:pPr>
              <w:rPr>
                <w:color w:val="A6A6A6" w:themeColor="background1" w:themeShade="A6"/>
              </w:rPr>
            </w:pPr>
            <w:r w:rsidRPr="00C3367F">
              <w:rPr>
                <w:color w:val="A6A6A6" w:themeColor="background1" w:themeShade="A6"/>
              </w:rPr>
              <w:t>39.6</w:t>
            </w:r>
          </w:p>
        </w:tc>
        <w:tc>
          <w:tcPr>
            <w:tcW w:w="1032" w:type="dxa"/>
          </w:tcPr>
          <w:p w:rsidR="00C76931" w:rsidRPr="00C3367F" w:rsidRDefault="003A69F1" w:rsidP="007F61AA">
            <w:pPr>
              <w:rPr>
                <w:color w:val="A6A6A6" w:themeColor="background1" w:themeShade="A6"/>
              </w:rPr>
            </w:pPr>
            <w:r w:rsidRPr="00C3367F">
              <w:rPr>
                <w:color w:val="A6A6A6" w:themeColor="background1" w:themeShade="A6"/>
              </w:rPr>
              <w:t>39.6</w:t>
            </w:r>
          </w:p>
        </w:tc>
        <w:tc>
          <w:tcPr>
            <w:tcW w:w="1027" w:type="dxa"/>
          </w:tcPr>
          <w:p w:rsidR="00C76931" w:rsidRPr="00C3367F" w:rsidRDefault="00C76931" w:rsidP="007F61AA">
            <w:pPr>
              <w:rPr>
                <w:color w:val="A6A6A6" w:themeColor="background1" w:themeShade="A6"/>
              </w:rPr>
            </w:pPr>
            <w:r w:rsidRPr="00C3367F">
              <w:rPr>
                <w:color w:val="A6A6A6" w:themeColor="background1" w:themeShade="A6"/>
              </w:rPr>
              <w:t>--</w:t>
            </w:r>
          </w:p>
        </w:tc>
        <w:tc>
          <w:tcPr>
            <w:tcW w:w="1005" w:type="dxa"/>
          </w:tcPr>
          <w:p w:rsidR="00C76931" w:rsidRPr="00C3367F" w:rsidRDefault="00C76931" w:rsidP="007F61AA">
            <w:pPr>
              <w:rPr>
                <w:color w:val="A6A6A6" w:themeColor="background1" w:themeShade="A6"/>
              </w:rPr>
            </w:pPr>
            <w:r w:rsidRPr="00C3367F">
              <w:rPr>
                <w:color w:val="A6A6A6" w:themeColor="background1" w:themeShade="A6"/>
              </w:rPr>
              <w:t>--</w:t>
            </w:r>
          </w:p>
        </w:tc>
      </w:tr>
      <w:tr w:rsidR="00C76931" w:rsidTr="007F61AA">
        <w:tc>
          <w:tcPr>
            <w:tcW w:w="1147" w:type="dxa"/>
          </w:tcPr>
          <w:p w:rsidR="00C76931" w:rsidRPr="001A2790" w:rsidRDefault="00C76931" w:rsidP="007F61AA">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M2R1</m:t>
                    </m:r>
                  </m:sub>
                </m:sSub>
              </m:oMath>
            </m:oMathPara>
          </w:p>
        </w:tc>
        <w:tc>
          <w:tcPr>
            <w:tcW w:w="1147" w:type="dxa"/>
          </w:tcPr>
          <w:p w:rsidR="00C76931" w:rsidRPr="001A2790" w:rsidRDefault="00C76931" w:rsidP="007F61AA">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M2R2</m:t>
                    </m:r>
                  </m:sub>
                </m:sSub>
              </m:oMath>
            </m:oMathPara>
          </w:p>
        </w:tc>
        <w:tc>
          <w:tcPr>
            <w:tcW w:w="1142" w:type="dxa"/>
          </w:tcPr>
          <w:p w:rsidR="00C76931" w:rsidRPr="001A2790" w:rsidRDefault="00C76931" w:rsidP="007F61AA">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M2R3</m:t>
                    </m:r>
                  </m:sub>
                </m:sSub>
              </m:oMath>
            </m:oMathPara>
          </w:p>
        </w:tc>
        <w:tc>
          <w:tcPr>
            <w:tcW w:w="1080" w:type="dxa"/>
          </w:tcPr>
          <w:p w:rsidR="00C76931" w:rsidRPr="001A2790" w:rsidRDefault="00C76931" w:rsidP="007F61AA">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M2R4</m:t>
                    </m:r>
                  </m:sub>
                </m:sSub>
              </m:oMath>
            </m:oMathPara>
          </w:p>
        </w:tc>
        <w:tc>
          <w:tcPr>
            <w:tcW w:w="1050" w:type="dxa"/>
          </w:tcPr>
          <w:p w:rsidR="00C76931" w:rsidRPr="001A2790" w:rsidRDefault="00C76931" w:rsidP="007F61AA"/>
        </w:tc>
        <w:tc>
          <w:tcPr>
            <w:tcW w:w="1032" w:type="dxa"/>
          </w:tcPr>
          <w:p w:rsidR="00C76931" w:rsidRPr="001A2790" w:rsidRDefault="00C76931" w:rsidP="007F61AA"/>
        </w:tc>
        <w:tc>
          <w:tcPr>
            <w:tcW w:w="1027" w:type="dxa"/>
          </w:tcPr>
          <w:p w:rsidR="00C76931" w:rsidRPr="001A2790" w:rsidRDefault="00C76931" w:rsidP="007F61AA"/>
        </w:tc>
        <w:tc>
          <w:tcPr>
            <w:tcW w:w="1005" w:type="dxa"/>
          </w:tcPr>
          <w:p w:rsidR="00C76931" w:rsidRPr="001A2790" w:rsidRDefault="00C76931" w:rsidP="007F61AA"/>
        </w:tc>
      </w:tr>
      <w:tr w:rsidR="00C3367F" w:rsidRPr="00C3367F" w:rsidTr="007F61AA">
        <w:tc>
          <w:tcPr>
            <w:tcW w:w="1147" w:type="dxa"/>
          </w:tcPr>
          <w:p w:rsidR="00C76931" w:rsidRPr="00C3367F" w:rsidRDefault="003A69F1" w:rsidP="007F61AA">
            <w:pPr>
              <w:rPr>
                <w:color w:val="A6A6A6" w:themeColor="background1" w:themeShade="A6"/>
              </w:rPr>
            </w:pPr>
            <w:r w:rsidRPr="00C3367F">
              <w:rPr>
                <w:color w:val="A6A6A6" w:themeColor="background1" w:themeShade="A6"/>
              </w:rPr>
              <w:t>1.57</w:t>
            </w:r>
          </w:p>
        </w:tc>
        <w:tc>
          <w:tcPr>
            <w:tcW w:w="1147" w:type="dxa"/>
          </w:tcPr>
          <w:p w:rsidR="00C76931" w:rsidRPr="00C3367F" w:rsidRDefault="003A69F1" w:rsidP="007F61AA">
            <w:pPr>
              <w:rPr>
                <w:color w:val="A6A6A6" w:themeColor="background1" w:themeShade="A6"/>
              </w:rPr>
            </w:pPr>
            <w:r w:rsidRPr="00C3367F">
              <w:rPr>
                <w:color w:val="A6A6A6" w:themeColor="background1" w:themeShade="A6"/>
              </w:rPr>
              <w:t>1.57</w:t>
            </w:r>
          </w:p>
        </w:tc>
        <w:tc>
          <w:tcPr>
            <w:tcW w:w="1142" w:type="dxa"/>
          </w:tcPr>
          <w:p w:rsidR="00C76931" w:rsidRPr="00C3367F" w:rsidRDefault="00A551FD" w:rsidP="007F61AA">
            <w:pPr>
              <w:rPr>
                <w:color w:val="A6A6A6" w:themeColor="background1" w:themeShade="A6"/>
              </w:rPr>
            </w:pPr>
            <w:r>
              <w:rPr>
                <w:color w:val="A6A6A6" w:themeColor="background1" w:themeShade="A6"/>
              </w:rPr>
              <w:t>--</w:t>
            </w:r>
          </w:p>
        </w:tc>
        <w:tc>
          <w:tcPr>
            <w:tcW w:w="1080" w:type="dxa"/>
          </w:tcPr>
          <w:p w:rsidR="00C76931" w:rsidRPr="00C3367F" w:rsidRDefault="00A551FD" w:rsidP="007F61AA">
            <w:pPr>
              <w:rPr>
                <w:color w:val="A6A6A6" w:themeColor="background1" w:themeShade="A6"/>
              </w:rPr>
            </w:pPr>
            <w:r>
              <w:rPr>
                <w:color w:val="A6A6A6" w:themeColor="background1" w:themeShade="A6"/>
              </w:rPr>
              <w:t>--</w:t>
            </w:r>
          </w:p>
        </w:tc>
        <w:tc>
          <w:tcPr>
            <w:tcW w:w="1050" w:type="dxa"/>
          </w:tcPr>
          <w:p w:rsidR="00C76931" w:rsidRPr="00C3367F" w:rsidRDefault="00C76931" w:rsidP="007F61AA">
            <w:pPr>
              <w:rPr>
                <w:color w:val="A6A6A6" w:themeColor="background1" w:themeShade="A6"/>
              </w:rPr>
            </w:pPr>
          </w:p>
        </w:tc>
        <w:tc>
          <w:tcPr>
            <w:tcW w:w="1032" w:type="dxa"/>
          </w:tcPr>
          <w:p w:rsidR="00C76931" w:rsidRPr="00C3367F" w:rsidRDefault="00C76931" w:rsidP="007F61AA">
            <w:pPr>
              <w:rPr>
                <w:color w:val="A6A6A6" w:themeColor="background1" w:themeShade="A6"/>
              </w:rPr>
            </w:pPr>
          </w:p>
        </w:tc>
        <w:tc>
          <w:tcPr>
            <w:tcW w:w="1027" w:type="dxa"/>
          </w:tcPr>
          <w:p w:rsidR="00C76931" w:rsidRPr="00C3367F" w:rsidRDefault="00C76931" w:rsidP="007F61AA">
            <w:pPr>
              <w:rPr>
                <w:color w:val="A6A6A6" w:themeColor="background1" w:themeShade="A6"/>
              </w:rPr>
            </w:pPr>
          </w:p>
        </w:tc>
        <w:tc>
          <w:tcPr>
            <w:tcW w:w="1005" w:type="dxa"/>
          </w:tcPr>
          <w:p w:rsidR="00C76931" w:rsidRPr="00C3367F" w:rsidRDefault="00C76931" w:rsidP="007F61AA">
            <w:pPr>
              <w:rPr>
                <w:color w:val="A6A6A6" w:themeColor="background1" w:themeShade="A6"/>
              </w:rPr>
            </w:pPr>
          </w:p>
        </w:tc>
      </w:tr>
      <w:tr w:rsidR="00C76931" w:rsidTr="007F61AA">
        <w:tc>
          <w:tcPr>
            <w:tcW w:w="1147" w:type="dxa"/>
          </w:tcPr>
          <w:p w:rsidR="00C76931" w:rsidRPr="001A2790" w:rsidRDefault="00C76931" w:rsidP="007F61AA">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R1B1</m:t>
                    </m:r>
                  </m:sub>
                </m:sSub>
              </m:oMath>
            </m:oMathPara>
          </w:p>
        </w:tc>
        <w:tc>
          <w:tcPr>
            <w:tcW w:w="1147" w:type="dxa"/>
          </w:tcPr>
          <w:p w:rsidR="00C76931" w:rsidRPr="001A2790" w:rsidRDefault="00C76931" w:rsidP="007F61AA">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R2B1</m:t>
                    </m:r>
                  </m:sub>
                </m:sSub>
              </m:oMath>
            </m:oMathPara>
          </w:p>
        </w:tc>
        <w:tc>
          <w:tcPr>
            <w:tcW w:w="1142" w:type="dxa"/>
          </w:tcPr>
          <w:p w:rsidR="00C76931" w:rsidRPr="001A2790" w:rsidRDefault="00C76931" w:rsidP="007F61AA">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R3B1</m:t>
                    </m:r>
                  </m:sub>
                </m:sSub>
              </m:oMath>
            </m:oMathPara>
          </w:p>
        </w:tc>
        <w:tc>
          <w:tcPr>
            <w:tcW w:w="1080" w:type="dxa"/>
          </w:tcPr>
          <w:p w:rsidR="00C76931" w:rsidRPr="001A2790" w:rsidRDefault="00C76931" w:rsidP="007F61AA">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R4B1</m:t>
                    </m:r>
                  </m:sub>
                </m:sSub>
              </m:oMath>
            </m:oMathPara>
          </w:p>
        </w:tc>
        <w:tc>
          <w:tcPr>
            <w:tcW w:w="1050" w:type="dxa"/>
          </w:tcPr>
          <w:p w:rsidR="00C76931" w:rsidRPr="001A2790" w:rsidRDefault="00C76931" w:rsidP="007F61AA">
            <m:oMathPara>
              <m:oMath>
                <m:sSub>
                  <m:sSubPr>
                    <m:ctrlPr>
                      <w:rPr>
                        <w:rFonts w:ascii="Cambria Math" w:hAnsi="Cambria Math"/>
                        <w:i/>
                      </w:rPr>
                    </m:ctrlPr>
                  </m:sSubPr>
                  <m:e>
                    <m:r>
                      <w:rPr>
                        <w:rFonts w:ascii="Cambria Math" w:hAnsi="Cambria Math"/>
                      </w:rPr>
                      <m:t>ρ</m:t>
                    </m:r>
                  </m:e>
                  <m:sub>
                    <m:r>
                      <w:rPr>
                        <w:rFonts w:ascii="Cambria Math" w:hAnsi="Cambria Math"/>
                      </w:rPr>
                      <m:t>B1</m:t>
                    </m:r>
                  </m:sub>
                </m:sSub>
              </m:oMath>
            </m:oMathPara>
          </w:p>
        </w:tc>
        <w:tc>
          <w:tcPr>
            <w:tcW w:w="1032" w:type="dxa"/>
          </w:tcPr>
          <w:p w:rsidR="00C76931" w:rsidRPr="001A2790" w:rsidRDefault="00C76931" w:rsidP="007F61AA"/>
        </w:tc>
        <w:tc>
          <w:tcPr>
            <w:tcW w:w="1027" w:type="dxa"/>
          </w:tcPr>
          <w:p w:rsidR="00C76931" w:rsidRPr="001A2790" w:rsidRDefault="00C76931" w:rsidP="007F61AA">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B1</m:t>
                    </m:r>
                  </m:sub>
                </m:sSub>
              </m:oMath>
            </m:oMathPara>
          </w:p>
        </w:tc>
        <w:tc>
          <w:tcPr>
            <w:tcW w:w="1005" w:type="dxa"/>
          </w:tcPr>
          <w:p w:rsidR="00C76931" w:rsidRPr="001A2790" w:rsidRDefault="00C76931" w:rsidP="007F61AA"/>
        </w:tc>
      </w:tr>
      <w:tr w:rsidR="00C3367F" w:rsidRPr="00C3367F" w:rsidTr="007F61AA">
        <w:tc>
          <w:tcPr>
            <w:tcW w:w="1147" w:type="dxa"/>
          </w:tcPr>
          <w:p w:rsidR="00C76931" w:rsidRPr="00C3367F" w:rsidRDefault="003A69F1" w:rsidP="007F61AA">
            <w:pPr>
              <w:rPr>
                <w:color w:val="A6A6A6" w:themeColor="background1" w:themeShade="A6"/>
              </w:rPr>
            </w:pPr>
            <w:r w:rsidRPr="00C3367F">
              <w:rPr>
                <w:color w:val="A6A6A6" w:themeColor="background1" w:themeShade="A6"/>
              </w:rPr>
              <w:t>3.13</w:t>
            </w:r>
          </w:p>
        </w:tc>
        <w:tc>
          <w:tcPr>
            <w:tcW w:w="1147" w:type="dxa"/>
          </w:tcPr>
          <w:p w:rsidR="00C76931" w:rsidRPr="00C3367F" w:rsidRDefault="003A69F1" w:rsidP="007F61AA">
            <w:pPr>
              <w:rPr>
                <w:color w:val="A6A6A6" w:themeColor="background1" w:themeShade="A6"/>
              </w:rPr>
            </w:pPr>
            <w:r w:rsidRPr="00C3367F">
              <w:rPr>
                <w:color w:val="A6A6A6" w:themeColor="background1" w:themeShade="A6"/>
              </w:rPr>
              <w:t>3.13</w:t>
            </w:r>
          </w:p>
        </w:tc>
        <w:tc>
          <w:tcPr>
            <w:tcW w:w="1142" w:type="dxa"/>
          </w:tcPr>
          <w:p w:rsidR="00C76931" w:rsidRPr="00C3367F" w:rsidRDefault="00A551FD" w:rsidP="007F61AA">
            <w:pPr>
              <w:rPr>
                <w:color w:val="A6A6A6" w:themeColor="background1" w:themeShade="A6"/>
              </w:rPr>
            </w:pPr>
            <w:r>
              <w:rPr>
                <w:color w:val="A6A6A6" w:themeColor="background1" w:themeShade="A6"/>
              </w:rPr>
              <w:t>--</w:t>
            </w:r>
          </w:p>
        </w:tc>
        <w:tc>
          <w:tcPr>
            <w:tcW w:w="1080" w:type="dxa"/>
          </w:tcPr>
          <w:p w:rsidR="00C76931" w:rsidRPr="00C3367F" w:rsidRDefault="00A551FD" w:rsidP="007F61AA">
            <w:pPr>
              <w:rPr>
                <w:color w:val="A6A6A6" w:themeColor="background1" w:themeShade="A6"/>
              </w:rPr>
            </w:pPr>
            <w:r>
              <w:rPr>
                <w:color w:val="A6A6A6" w:themeColor="background1" w:themeShade="A6"/>
              </w:rPr>
              <w:t>--</w:t>
            </w:r>
          </w:p>
        </w:tc>
        <w:tc>
          <w:tcPr>
            <w:tcW w:w="1050" w:type="dxa"/>
          </w:tcPr>
          <w:p w:rsidR="00C76931" w:rsidRPr="00C3367F" w:rsidRDefault="003A69F1" w:rsidP="007F61AA">
            <w:pPr>
              <w:rPr>
                <w:color w:val="A6A6A6" w:themeColor="background1" w:themeShade="A6"/>
              </w:rPr>
            </w:pPr>
            <w:r w:rsidRPr="00C3367F">
              <w:rPr>
                <w:color w:val="A6A6A6" w:themeColor="background1" w:themeShade="A6"/>
              </w:rPr>
              <w:t>46.86</w:t>
            </w:r>
          </w:p>
        </w:tc>
        <w:tc>
          <w:tcPr>
            <w:tcW w:w="1032" w:type="dxa"/>
          </w:tcPr>
          <w:p w:rsidR="00C76931" w:rsidRPr="00C3367F" w:rsidRDefault="00C76931" w:rsidP="007F61AA">
            <w:pPr>
              <w:rPr>
                <w:color w:val="A6A6A6" w:themeColor="background1" w:themeShade="A6"/>
              </w:rPr>
            </w:pPr>
          </w:p>
        </w:tc>
        <w:tc>
          <w:tcPr>
            <w:tcW w:w="1027" w:type="dxa"/>
          </w:tcPr>
          <w:p w:rsidR="00C76931" w:rsidRPr="00C3367F" w:rsidRDefault="003A69F1" w:rsidP="007F61AA">
            <w:pPr>
              <w:rPr>
                <w:color w:val="A6A6A6" w:themeColor="background1" w:themeShade="A6"/>
              </w:rPr>
            </w:pPr>
            <w:r w:rsidRPr="00C3367F">
              <w:rPr>
                <w:color w:val="A6A6A6" w:themeColor="background1" w:themeShade="A6"/>
              </w:rPr>
              <w:t>6.27</w:t>
            </w:r>
          </w:p>
        </w:tc>
        <w:tc>
          <w:tcPr>
            <w:tcW w:w="1005" w:type="dxa"/>
          </w:tcPr>
          <w:p w:rsidR="00C76931" w:rsidRPr="00C3367F" w:rsidRDefault="00C76931" w:rsidP="007F61AA">
            <w:pPr>
              <w:rPr>
                <w:color w:val="A6A6A6" w:themeColor="background1" w:themeShade="A6"/>
              </w:rPr>
            </w:pPr>
          </w:p>
        </w:tc>
      </w:tr>
      <w:tr w:rsidR="00C76931" w:rsidTr="007F61AA">
        <w:tc>
          <w:tcPr>
            <w:tcW w:w="1147" w:type="dxa"/>
          </w:tcPr>
          <w:p w:rsidR="00C76931" w:rsidRPr="001A2790" w:rsidRDefault="00C76931" w:rsidP="007F61AA">
            <w:r>
              <w:t>Profit(M1)</w:t>
            </w:r>
          </w:p>
        </w:tc>
        <w:tc>
          <w:tcPr>
            <w:tcW w:w="1147" w:type="dxa"/>
          </w:tcPr>
          <w:p w:rsidR="00C76931" w:rsidRPr="001A2790" w:rsidRDefault="00C76931" w:rsidP="007F61AA">
            <w:r>
              <w:t>Profit(M2)</w:t>
            </w:r>
          </w:p>
        </w:tc>
        <w:tc>
          <w:tcPr>
            <w:tcW w:w="1142" w:type="dxa"/>
          </w:tcPr>
          <w:p w:rsidR="00C76931" w:rsidRPr="001A2790" w:rsidRDefault="00C76931" w:rsidP="007F61AA">
            <w:r>
              <w:t>Profit(R1)</w:t>
            </w:r>
          </w:p>
        </w:tc>
        <w:tc>
          <w:tcPr>
            <w:tcW w:w="1080" w:type="dxa"/>
          </w:tcPr>
          <w:p w:rsidR="00C76931" w:rsidRPr="001A2790" w:rsidRDefault="00C76931" w:rsidP="007F61AA">
            <w:r>
              <w:t>Profit(R2)</w:t>
            </w:r>
          </w:p>
        </w:tc>
        <w:tc>
          <w:tcPr>
            <w:tcW w:w="1050" w:type="dxa"/>
          </w:tcPr>
          <w:p w:rsidR="00C76931" w:rsidRPr="001A2790" w:rsidRDefault="00C76931" w:rsidP="007F61AA">
            <w:r>
              <w:t>Profit(R3)</w:t>
            </w:r>
          </w:p>
        </w:tc>
        <w:tc>
          <w:tcPr>
            <w:tcW w:w="1032" w:type="dxa"/>
          </w:tcPr>
          <w:p w:rsidR="00C76931" w:rsidRPr="001A2790" w:rsidRDefault="00C76931" w:rsidP="007F61AA">
            <w:r>
              <w:t>Profit(R4)</w:t>
            </w:r>
          </w:p>
        </w:tc>
        <w:tc>
          <w:tcPr>
            <w:tcW w:w="1027" w:type="dxa"/>
          </w:tcPr>
          <w:p w:rsidR="00C76931" w:rsidRPr="001A2790" w:rsidRDefault="00C76931" w:rsidP="007F61AA">
            <w:r>
              <w:t>CS(B1)</w:t>
            </w:r>
          </w:p>
        </w:tc>
        <w:tc>
          <w:tcPr>
            <w:tcW w:w="1005" w:type="dxa"/>
          </w:tcPr>
          <w:p w:rsidR="00C76931" w:rsidRPr="001A2790" w:rsidRDefault="00C76931" w:rsidP="007F61AA"/>
        </w:tc>
      </w:tr>
      <w:tr w:rsidR="00C3367F" w:rsidRPr="00C3367F" w:rsidTr="007F61AA">
        <w:tc>
          <w:tcPr>
            <w:tcW w:w="1147" w:type="dxa"/>
          </w:tcPr>
          <w:p w:rsidR="00C76931" w:rsidRPr="00C3367F" w:rsidRDefault="003A69F1" w:rsidP="007F61AA">
            <w:pPr>
              <w:rPr>
                <w:color w:val="A6A6A6" w:themeColor="background1" w:themeShade="A6"/>
              </w:rPr>
            </w:pPr>
            <w:r w:rsidRPr="00C3367F">
              <w:rPr>
                <w:color w:val="A6A6A6" w:themeColor="background1" w:themeShade="A6"/>
              </w:rPr>
              <w:t>13.63</w:t>
            </w:r>
          </w:p>
        </w:tc>
        <w:tc>
          <w:tcPr>
            <w:tcW w:w="1147" w:type="dxa"/>
          </w:tcPr>
          <w:p w:rsidR="00C76931" w:rsidRPr="00C3367F" w:rsidRDefault="003A69F1" w:rsidP="007F61AA">
            <w:pPr>
              <w:rPr>
                <w:color w:val="A6A6A6" w:themeColor="background1" w:themeShade="A6"/>
              </w:rPr>
            </w:pPr>
            <w:r w:rsidRPr="00C3367F">
              <w:rPr>
                <w:color w:val="A6A6A6" w:themeColor="background1" w:themeShade="A6"/>
              </w:rPr>
              <w:t>13.63</w:t>
            </w:r>
          </w:p>
        </w:tc>
        <w:tc>
          <w:tcPr>
            <w:tcW w:w="1142" w:type="dxa"/>
          </w:tcPr>
          <w:p w:rsidR="00C76931" w:rsidRPr="00C3367F" w:rsidRDefault="003A69F1" w:rsidP="007F61AA">
            <w:pPr>
              <w:rPr>
                <w:color w:val="A6A6A6" w:themeColor="background1" w:themeShade="A6"/>
              </w:rPr>
            </w:pPr>
            <w:r w:rsidRPr="00C3367F">
              <w:rPr>
                <w:color w:val="A6A6A6" w:themeColor="background1" w:themeShade="A6"/>
              </w:rPr>
              <w:t>39.34</w:t>
            </w:r>
          </w:p>
        </w:tc>
        <w:tc>
          <w:tcPr>
            <w:tcW w:w="1080" w:type="dxa"/>
          </w:tcPr>
          <w:p w:rsidR="00C76931" w:rsidRPr="00C3367F" w:rsidRDefault="003A69F1" w:rsidP="007F61AA">
            <w:pPr>
              <w:rPr>
                <w:color w:val="A6A6A6" w:themeColor="background1" w:themeShade="A6"/>
              </w:rPr>
            </w:pPr>
            <w:r w:rsidRPr="00C3367F">
              <w:rPr>
                <w:color w:val="A6A6A6" w:themeColor="background1" w:themeShade="A6"/>
              </w:rPr>
              <w:t>39.34</w:t>
            </w:r>
          </w:p>
        </w:tc>
        <w:tc>
          <w:tcPr>
            <w:tcW w:w="1050" w:type="dxa"/>
          </w:tcPr>
          <w:p w:rsidR="00C76931" w:rsidRPr="00C3367F" w:rsidRDefault="00C76931" w:rsidP="007F61AA">
            <w:pPr>
              <w:rPr>
                <w:color w:val="A6A6A6" w:themeColor="background1" w:themeShade="A6"/>
              </w:rPr>
            </w:pPr>
            <w:r w:rsidRPr="00C3367F">
              <w:rPr>
                <w:color w:val="A6A6A6" w:themeColor="background1" w:themeShade="A6"/>
              </w:rPr>
              <w:t>--</w:t>
            </w:r>
          </w:p>
        </w:tc>
        <w:tc>
          <w:tcPr>
            <w:tcW w:w="1032" w:type="dxa"/>
          </w:tcPr>
          <w:p w:rsidR="00C76931" w:rsidRPr="00C3367F" w:rsidRDefault="00C76931" w:rsidP="007F61AA">
            <w:pPr>
              <w:rPr>
                <w:color w:val="A6A6A6" w:themeColor="background1" w:themeShade="A6"/>
              </w:rPr>
            </w:pPr>
            <w:r w:rsidRPr="00C3367F">
              <w:rPr>
                <w:color w:val="A6A6A6" w:themeColor="background1" w:themeShade="A6"/>
              </w:rPr>
              <w:t>--</w:t>
            </w:r>
          </w:p>
        </w:tc>
        <w:tc>
          <w:tcPr>
            <w:tcW w:w="1027" w:type="dxa"/>
          </w:tcPr>
          <w:p w:rsidR="00C76931" w:rsidRPr="00C3367F" w:rsidRDefault="003A69F1" w:rsidP="007F61AA">
            <w:pPr>
              <w:rPr>
                <w:color w:val="A6A6A6" w:themeColor="background1" w:themeShade="A6"/>
              </w:rPr>
            </w:pPr>
            <w:r w:rsidRPr="00C3367F">
              <w:rPr>
                <w:color w:val="A6A6A6" w:themeColor="background1" w:themeShade="A6"/>
              </w:rPr>
              <w:t>19.66</w:t>
            </w:r>
          </w:p>
        </w:tc>
        <w:tc>
          <w:tcPr>
            <w:tcW w:w="1005" w:type="dxa"/>
          </w:tcPr>
          <w:p w:rsidR="00C76931" w:rsidRPr="00C3367F" w:rsidRDefault="00C76931" w:rsidP="007F61AA">
            <w:pPr>
              <w:rPr>
                <w:color w:val="A6A6A6" w:themeColor="background1" w:themeShade="A6"/>
              </w:rPr>
            </w:pPr>
          </w:p>
        </w:tc>
      </w:tr>
    </w:tbl>
    <w:p w:rsidR="00D81B06" w:rsidRDefault="00D81B06" w:rsidP="00D81B06">
      <w:pPr>
        <w:pStyle w:val="ListParagraph"/>
        <w:rPr>
          <w:lang w:val="en-US"/>
        </w:rPr>
      </w:pPr>
    </w:p>
    <w:p w:rsidR="00D81B06" w:rsidRDefault="00D81B06" w:rsidP="00D81B06">
      <w:pPr>
        <w:pStyle w:val="ListParagraph"/>
        <w:rPr>
          <w:lang w:val="en-US"/>
        </w:rPr>
      </w:pPr>
    </w:p>
    <w:p w:rsidR="003756DF" w:rsidRDefault="007C4277" w:rsidP="007C4277">
      <w:pPr>
        <w:pStyle w:val="ListParagraph"/>
        <w:numPr>
          <w:ilvl w:val="0"/>
          <w:numId w:val="3"/>
        </w:numPr>
        <w:rPr>
          <w:lang w:val="en-US"/>
        </w:rPr>
      </w:pPr>
      <w:r w:rsidRPr="007C4277">
        <w:rPr>
          <w:lang w:val="en-US"/>
        </w:rPr>
        <w:t>Suppose that the man</w:t>
      </w:r>
      <w:r w:rsidR="00DF272F">
        <w:rPr>
          <w:lang w:val="en-US"/>
        </w:rPr>
        <w:t>u</w:t>
      </w:r>
      <w:r w:rsidRPr="007C4277">
        <w:rPr>
          <w:lang w:val="en-US"/>
        </w:rPr>
        <w:t>facturers and retailers</w:t>
      </w:r>
      <w:r>
        <w:rPr>
          <w:lang w:val="en-US"/>
        </w:rPr>
        <w:t xml:space="preserve"> each have a vote on whether the wholesalers should relocate. What do you think the outcome would be in this case? What are the main factors affecting the outcome?</w:t>
      </w:r>
      <w:r w:rsidRPr="007C4277">
        <w:rPr>
          <w:lang w:val="en-US"/>
        </w:rPr>
        <w:t xml:space="preserve"> </w:t>
      </w:r>
    </w:p>
    <w:p w:rsidR="00C57ABA" w:rsidRPr="00C57ABA" w:rsidRDefault="00C57ABA" w:rsidP="00C57ABA">
      <w:pPr>
        <w:pStyle w:val="ListParagraph"/>
        <w:numPr>
          <w:ilvl w:val="0"/>
          <w:numId w:val="3"/>
        </w:numPr>
        <w:rPr>
          <w:lang w:val="en-US"/>
        </w:rPr>
      </w:pPr>
      <w:r w:rsidRPr="00C57ABA">
        <w:rPr>
          <w:lang w:val="en-US"/>
        </w:rPr>
        <w:t>Read the article in the l</w:t>
      </w:r>
      <w:r>
        <w:rPr>
          <w:lang w:val="en-US"/>
        </w:rPr>
        <w:t xml:space="preserve">ink. Discuss how this model could be improved to describe </w:t>
      </w:r>
      <w:r w:rsidR="00694CE7">
        <w:rPr>
          <w:lang w:val="en-US"/>
        </w:rPr>
        <w:t>the situation and predict the effect of the policies.</w:t>
      </w:r>
    </w:p>
    <w:sectPr w:rsidR="00C57ABA" w:rsidRPr="00C57A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85476"/>
    <w:multiLevelType w:val="hybridMultilevel"/>
    <w:tmpl w:val="F3F0E054"/>
    <w:lvl w:ilvl="0" w:tplc="9F90C1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038A8"/>
    <w:multiLevelType w:val="hybridMultilevel"/>
    <w:tmpl w:val="64C20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583FE3"/>
    <w:multiLevelType w:val="hybridMultilevel"/>
    <w:tmpl w:val="A9F81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671CD3"/>
    <w:multiLevelType w:val="hybridMultilevel"/>
    <w:tmpl w:val="FEA24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A9A"/>
    <w:rsid w:val="00086E93"/>
    <w:rsid w:val="000C764D"/>
    <w:rsid w:val="0014475C"/>
    <w:rsid w:val="00183B18"/>
    <w:rsid w:val="001A2790"/>
    <w:rsid w:val="002369DD"/>
    <w:rsid w:val="002730A2"/>
    <w:rsid w:val="00293363"/>
    <w:rsid w:val="0036365B"/>
    <w:rsid w:val="003756DF"/>
    <w:rsid w:val="003A69F1"/>
    <w:rsid w:val="003C4D3D"/>
    <w:rsid w:val="003F03B2"/>
    <w:rsid w:val="00400640"/>
    <w:rsid w:val="00400A9A"/>
    <w:rsid w:val="00426B84"/>
    <w:rsid w:val="004B5629"/>
    <w:rsid w:val="004C3458"/>
    <w:rsid w:val="004E2487"/>
    <w:rsid w:val="004E3ABC"/>
    <w:rsid w:val="0051396E"/>
    <w:rsid w:val="00534CCA"/>
    <w:rsid w:val="005D5B12"/>
    <w:rsid w:val="005F1A90"/>
    <w:rsid w:val="0066032D"/>
    <w:rsid w:val="00692A04"/>
    <w:rsid w:val="00694CE7"/>
    <w:rsid w:val="006A5099"/>
    <w:rsid w:val="006B1FB5"/>
    <w:rsid w:val="006F39FF"/>
    <w:rsid w:val="007074AE"/>
    <w:rsid w:val="007A643F"/>
    <w:rsid w:val="007C4277"/>
    <w:rsid w:val="00806B7C"/>
    <w:rsid w:val="00850279"/>
    <w:rsid w:val="00855AE5"/>
    <w:rsid w:val="008E1BA9"/>
    <w:rsid w:val="00945E9A"/>
    <w:rsid w:val="00947D05"/>
    <w:rsid w:val="009537B4"/>
    <w:rsid w:val="009A74CC"/>
    <w:rsid w:val="009F6195"/>
    <w:rsid w:val="00A17825"/>
    <w:rsid w:val="00A346B7"/>
    <w:rsid w:val="00A551FD"/>
    <w:rsid w:val="00AD60AD"/>
    <w:rsid w:val="00B03512"/>
    <w:rsid w:val="00B1225A"/>
    <w:rsid w:val="00B5518C"/>
    <w:rsid w:val="00C3367F"/>
    <w:rsid w:val="00C342D1"/>
    <w:rsid w:val="00C37791"/>
    <w:rsid w:val="00C57341"/>
    <w:rsid w:val="00C57ABA"/>
    <w:rsid w:val="00C76931"/>
    <w:rsid w:val="00D35B05"/>
    <w:rsid w:val="00D4269F"/>
    <w:rsid w:val="00D54CA8"/>
    <w:rsid w:val="00D81B06"/>
    <w:rsid w:val="00D93450"/>
    <w:rsid w:val="00DF272F"/>
    <w:rsid w:val="00E31D46"/>
    <w:rsid w:val="00E56281"/>
    <w:rsid w:val="00E91EA7"/>
    <w:rsid w:val="00F01C35"/>
    <w:rsid w:val="00F47493"/>
    <w:rsid w:val="00FA4C95"/>
    <w:rsid w:val="00FA7A19"/>
    <w:rsid w:val="00FD7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2A5D1"/>
  <w15:chartTrackingRefBased/>
  <w15:docId w15:val="{365881C4-01C4-4EBD-BCAB-11D298BC5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099"/>
    <w:pPr>
      <w:ind w:left="720"/>
      <w:contextualSpacing/>
    </w:pPr>
    <w:rPr>
      <w:lang w:val="nl-BE"/>
    </w:rPr>
  </w:style>
  <w:style w:type="character" w:styleId="PlaceholderText">
    <w:name w:val="Placeholder Text"/>
    <w:basedOn w:val="DefaultParagraphFont"/>
    <w:uiPriority w:val="99"/>
    <w:semiHidden/>
    <w:rsid w:val="00947D05"/>
    <w:rPr>
      <w:color w:val="808080"/>
    </w:rPr>
  </w:style>
  <w:style w:type="table" w:styleId="TableGrid">
    <w:name w:val="Table Grid"/>
    <w:basedOn w:val="TableNormal"/>
    <w:uiPriority w:val="39"/>
    <w:rsid w:val="001A2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64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hinadaily.com.cn/china/2016-12/18/content_27702588.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KU Leuven FEB</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 Man Fung</dc:creator>
  <cp:keywords/>
  <dc:description/>
  <cp:lastModifiedBy>Chau Man Fung</cp:lastModifiedBy>
  <cp:revision>13</cp:revision>
  <dcterms:created xsi:type="dcterms:W3CDTF">2019-04-23T17:14:00Z</dcterms:created>
  <dcterms:modified xsi:type="dcterms:W3CDTF">2019-04-24T16:18:00Z</dcterms:modified>
</cp:coreProperties>
</file>