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65B0C"/>
          <w:sz w:val="24"/>
        </w:rPr>
        <w:t>YUVA INTERN | WEEK 1 TASK</w:t>
      </w:r>
    </w:p>
    <w:p>
      <w:pPr>
        <w:pStyle w:val="Title"/>
        <w:jc w:val="center"/>
      </w:pPr>
      <w:r>
        <w:t>Strategic Planning and Data Analysis Framework</w:t>
        <w:br/>
        <w:t>for E-Governance and Digital Services</w:t>
      </w:r>
    </w:p>
    <w:p>
      <w:pPr>
        <w:jc w:val="center"/>
      </w:pPr>
      <w:r>
        <w:rPr>
          <w:i/>
          <w:sz w:val="26"/>
        </w:rPr>
        <w:t>A practical 30–35 hour project plan</w:t>
      </w:r>
    </w:p>
    <w:p/>
    <w:tbl>
      <w:tblPr>
        <w:tblStyle w:val="TableGrid"/>
        <w:tblW w:type="auto" w:w="0"/>
        <w:jc w:val="center"/>
        <w:tblLook w:firstColumn="1" w:firstRow="1" w:lastColumn="0" w:lastRow="0" w:noHBand="0" w:noVBand="1" w:val="04A0"/>
      </w:tblPr>
      <w:tblGrid>
        <w:gridCol w:w="4968"/>
        <w:gridCol w:w="4968"/>
      </w:tblGrid>
      <w:tr>
        <w:tc>
          <w:tcPr>
            <w:tcW w:type="dxa" w:w="4968"/>
            <w:shd w:fill="FCE7D8"/>
            <w:vAlign w:val="center"/>
          </w:tcPr>
          <w:p>
            <w:r>
              <w:rPr>
                <w:sz w:val="20"/>
              </w:rPr>
              <w:t>Prepared by</w:t>
            </w:r>
          </w:p>
        </w:tc>
        <w:tc>
          <w:tcPr>
            <w:tcW w:type="dxa" w:w="4968"/>
            <w:vAlign w:val="center"/>
          </w:tcPr>
          <w:p>
            <w:r>
              <w:rPr>
                <w:sz w:val="20"/>
              </w:rPr>
              <w:t>[Your Full Name]</w:t>
            </w:r>
          </w:p>
        </w:tc>
      </w:tr>
      <w:tr>
        <w:tc>
          <w:tcPr>
            <w:tcW w:type="dxa" w:w="4968"/>
            <w:shd w:fill="FCE7D8"/>
            <w:vAlign w:val="center"/>
          </w:tcPr>
          <w:p>
            <w:r>
              <w:rPr>
                <w:sz w:val="20"/>
              </w:rPr>
              <w:t>Programme / Role</w:t>
            </w:r>
          </w:p>
        </w:tc>
        <w:tc>
          <w:tcPr>
            <w:tcW w:type="dxa" w:w="4968"/>
            <w:vAlign w:val="center"/>
          </w:tcPr>
          <w:p>
            <w:r>
              <w:rPr>
                <w:sz w:val="20"/>
              </w:rPr>
              <w:t>Data Analysis Intern</w:t>
            </w:r>
          </w:p>
        </w:tc>
      </w:tr>
      <w:tr>
        <w:tc>
          <w:tcPr>
            <w:tcW w:type="dxa" w:w="4968"/>
            <w:shd w:fill="FCE7D8"/>
            <w:vAlign w:val="center"/>
          </w:tcPr>
          <w:p>
            <w:r>
              <w:rPr>
                <w:sz w:val="20"/>
              </w:rPr>
              <w:t>Task</w:t>
            </w:r>
          </w:p>
        </w:tc>
        <w:tc>
          <w:tcPr>
            <w:tcW w:type="dxa" w:w="4968"/>
            <w:vAlign w:val="center"/>
          </w:tcPr>
          <w:p>
            <w:r>
              <w:rPr>
                <w:sz w:val="20"/>
              </w:rPr>
              <w:t>Week 1 – Strategic Planning</w:t>
            </w:r>
          </w:p>
        </w:tc>
      </w:tr>
      <w:tr>
        <w:tc>
          <w:tcPr>
            <w:tcW w:type="dxa" w:w="4968"/>
            <w:shd w:fill="FCE7D8"/>
            <w:vAlign w:val="center"/>
          </w:tcPr>
          <w:p>
            <w:r>
              <w:rPr>
                <w:sz w:val="20"/>
              </w:rPr>
              <w:t>Date</w:t>
            </w:r>
          </w:p>
        </w:tc>
        <w:tc>
          <w:tcPr>
            <w:tcW w:type="dxa" w:w="4968"/>
            <w:vAlign w:val="center"/>
          </w:tcPr>
          <w:p>
            <w:r>
              <w:rPr>
                <w:sz w:val="20"/>
              </w:rPr>
              <w:t>[Submission Date]</w:t>
            </w:r>
          </w:p>
        </w:tc>
      </w:tr>
    </w:tbl>
    <w:p>
      <w:r>
        <w:br w:type="page"/>
      </w:r>
    </w:p>
    <w:p>
      <w:pPr>
        <w:pStyle w:val="Heading1"/>
      </w:pPr>
      <w:r>
        <w:t>Executive Summary</w:t>
      </w:r>
    </w:p>
    <w:p>
      <w:r>
        <w:t>This report proposes a structured data-analysis framework for improving the quality, accessibility, efficiency, and reliability of e-governance and public digital services. Government portals generate useful operational information, such as application volumes, processing times, service completion rates, complaints, failed transactions, and citizen feedback. When collected responsibly and analysed consistently, these data can help administrators identify bottlenecks, allocate resources, and improve the citizen experience.</w:t>
      </w:r>
    </w:p>
    <w:p>
      <w:r>
        <w:t>The proposed project follows a 30–35 hour workflow covering background research, problem definition, data planning, quality checks, exploratory analysis, KPI design, dashboard planning, risk management, and final recommendations. The framework is designed to be feasible as a planning exercise; any findings about actual government services must be validated using real, authorised data rather than assumed in advance.</w:t>
      </w:r>
    </w:p>
    <w:p>
      <w:pPr>
        <w:pStyle w:val="Heading1"/>
      </w:pPr>
      <w:r>
        <w:t>1. Introduction and Background</w:t>
      </w:r>
    </w:p>
    <w:p>
      <w:r>
        <w:t>E-governance uses digital technologies to deliver public information and services, including certificates, benefit applications, tax or fee payments, grievance registration, and status tracking. Digital delivery can reduce travel and paperwork, but putting a service online does not automatically make it effective. Citizens may still face confusing forms, slow processing, inaccessible interfaces, failed payments, language barriers, or limited support.</w:t>
      </w:r>
    </w:p>
    <w:p>
      <w:r>
        <w:t>Data analysis can help convert operational records and feedback into evidence for service improvement. A reliable framework should connect each analytical question to a measurable indicator, a suitable data source, a transparent method, and an actionable recommendation. It must also protect privacy, document limitations, and avoid treating correlation as proof of cause.</w:t>
      </w:r>
    </w:p>
    <w:p>
      <w:pPr>
        <w:pStyle w:val="Heading1"/>
      </w:pPr>
      <w:r>
        <w:t>2. Problem Statement</w:t>
      </w:r>
    </w:p>
    <w:p>
      <w:r>
        <w:t>Public digital services may have fragmented records, inconsistent data entry, limited visibility into service delays, and insufficient measurement of citizen experience. Without clear indicators and a repeatable analytical process, decision-makers may struggle to determine which services are underperforming, where users abandon a process, or which operational changes should be prioritised.</w:t>
      </w:r>
    </w:p>
    <w:p>
      <w:r>
        <w:t>This project therefore designs a practical framework to assess service performance, reveal patterns and bottlenecks, and recommend evidence-based improvements while maintaining data quality, privacy, and fairness.</w:t>
      </w:r>
    </w:p>
    <w:p>
      <w:pPr>
        <w:pStyle w:val="Heading1"/>
      </w:pPr>
      <w:r>
        <w:t>3. Background Research: Trends, Challenges, and Opportunities</w:t>
      </w:r>
    </w:p>
    <w:p>
      <w:pPr>
        <w:pStyle w:val="Heading2"/>
      </w:pPr>
      <w:r>
        <w:t>3.1 Relevant trends</w:t>
      </w:r>
    </w:p>
    <w:p>
      <w:pPr>
        <w:pStyle w:val="ListBullet"/>
      </w:pPr>
      <w:r>
        <w:t>Digital-by-default service delivery, with assisted or offline alternatives for people who need them.</w:t>
      </w:r>
    </w:p>
    <w:p>
      <w:pPr>
        <w:pStyle w:val="ListBullet"/>
      </w:pPr>
      <w:r>
        <w:t>Use of dashboards and service-level indicators to track application volumes, turnaround time, backlogs, and complaints.</w:t>
      </w:r>
    </w:p>
    <w:p>
      <w:pPr>
        <w:pStyle w:val="ListBullet"/>
      </w:pPr>
      <w:r>
        <w:t>Interoperability and common data standards so that authorised systems can exchange information consistently.</w:t>
      </w:r>
    </w:p>
    <w:p>
      <w:pPr>
        <w:pStyle w:val="ListBullet"/>
      </w:pPr>
      <w:r>
        <w:t>Mobile-friendly, multilingual, and accessible design to support different devices, abilities, and levels of digital literacy.</w:t>
      </w:r>
    </w:p>
    <w:p>
      <w:pPr>
        <w:pStyle w:val="ListBullet"/>
      </w:pPr>
      <w:r>
        <w:t>Privacy-conscious analytics, access controls, audit trails, and data minimisation.</w:t>
      </w:r>
    </w:p>
    <w:p>
      <w:pPr>
        <w:pStyle w:val="ListBullet"/>
      </w:pPr>
      <w:r>
        <w:t>Responsible use of automation, with human review for consequential decisions and clear routes to appeal.</w:t>
      </w:r>
    </w:p>
    <w:p>
      <w:pPr>
        <w:pStyle w:val="Heading2"/>
      </w:pPr>
      <w:r>
        <w:t>3.2 Major challenges</w:t>
      </w:r>
    </w:p>
    <w:p>
      <w:pPr>
        <w:pStyle w:val="ListBullet"/>
      </w:pPr>
      <w:r>
        <w:t>Missing, duplicated, outdated, or inconsistent records can distort analysis.</w:t>
      </w:r>
    </w:p>
    <w:p>
      <w:pPr>
        <w:pStyle w:val="ListBullet"/>
      </w:pPr>
      <w:r>
        <w:t>Different departments may define the same indicator differently or store data in incompatible formats.</w:t>
      </w:r>
    </w:p>
    <w:p>
      <w:pPr>
        <w:pStyle w:val="ListBullet"/>
      </w:pPr>
      <w:r>
        <w:t>Personal and sensitive information may be exposed if data collection and access are not controlled.</w:t>
      </w:r>
    </w:p>
    <w:p>
      <w:pPr>
        <w:pStyle w:val="ListBullet"/>
      </w:pPr>
      <w:r>
        <w:t>Rural connectivity, disability access, language, and digital literacy can affect who uses a service.</w:t>
      </w:r>
    </w:p>
    <w:p>
      <w:pPr>
        <w:pStyle w:val="ListBullet"/>
      </w:pPr>
      <w:r>
        <w:t>Averages can hide unequal outcomes across locations, service types, or user groups.</w:t>
      </w:r>
    </w:p>
    <w:p>
      <w:pPr>
        <w:pStyle w:val="ListBullet"/>
      </w:pPr>
      <w:r>
        <w:t>A dashboard may show a problem without identifying its cause; findings need operational context and validation.</w:t>
      </w:r>
    </w:p>
    <w:p>
      <w:pPr>
        <w:pStyle w:val="Heading2"/>
      </w:pPr>
      <w:r>
        <w:t>3.3 Opportunities</w:t>
      </w:r>
    </w:p>
    <w:p>
      <w:pPr>
        <w:pStyle w:val="ListBullet"/>
      </w:pPr>
      <w:r>
        <w:t>Identify stages with the longest processing times and the largest pending queues.</w:t>
      </w:r>
    </w:p>
    <w:p>
      <w:pPr>
        <w:pStyle w:val="ListBullet"/>
      </w:pPr>
      <w:r>
        <w:t>Reduce repeat visits and avoidable rejections by analysing common error categories.</w:t>
      </w:r>
    </w:p>
    <w:p>
      <w:pPr>
        <w:pStyle w:val="ListBullet"/>
      </w:pPr>
      <w:r>
        <w:t>Improve staffing and service planning using workload patterns.</w:t>
      </w:r>
    </w:p>
    <w:p>
      <w:pPr>
        <w:pStyle w:val="ListBullet"/>
      </w:pPr>
      <w:r>
        <w:t>Prioritise fixes using a combination of impact, effort, urgency, and evidence quality.</w:t>
      </w:r>
    </w:p>
    <w:p>
      <w:pPr>
        <w:pStyle w:val="ListBullet"/>
      </w:pPr>
      <w:r>
        <w:t>Use citizen feedback and grievance themes to guide service redesign.</w:t>
      </w:r>
    </w:p>
    <w:p>
      <w:pPr>
        <w:pStyle w:val="Heading1"/>
      </w:pPr>
      <w:r>
        <w:t>4. Project Objectives</w:t>
      </w:r>
    </w:p>
    <w:p>
      <w:pPr>
        <w:pStyle w:val="ListNumber"/>
      </w:pPr>
      <w:r>
        <w:t>Define the service-performance questions that the analysis should answer.</w:t>
      </w:r>
    </w:p>
    <w:p>
      <w:pPr>
        <w:pStyle w:val="ListNumber"/>
      </w:pPr>
      <w:r>
        <w:t>Specify authorised data sources, fields, collection frequency, and ownership.</w:t>
      </w:r>
    </w:p>
    <w:p>
      <w:pPr>
        <w:pStyle w:val="ListNumber"/>
      </w:pPr>
      <w:r>
        <w:t>Create a data-quality checklist for missing values, duplicates, inconsistent categories, and invalid dates.</w:t>
      </w:r>
    </w:p>
    <w:p>
      <w:pPr>
        <w:pStyle w:val="ListNumber"/>
      </w:pPr>
      <w:r>
        <w:t>Select descriptive and comparative statistical methods appropriate to the data.</w:t>
      </w:r>
    </w:p>
    <w:p>
      <w:pPr>
        <w:pStyle w:val="ListNumber"/>
      </w:pPr>
      <w:r>
        <w:t>Define measurable key performance indicators (KPIs) for speed, completion, reliability, and citizen experience.</w:t>
      </w:r>
    </w:p>
    <w:p>
      <w:pPr>
        <w:pStyle w:val="ListNumber"/>
      </w:pPr>
      <w:r>
        <w:t>Develop a dashboard and reporting plan that communicates findings clearly to non-technical decision-makers.</w:t>
      </w:r>
    </w:p>
    <w:p>
      <w:pPr>
        <w:pStyle w:val="ListNumber"/>
      </w:pPr>
      <w:r>
        <w:t>Identify privacy, security, bias, and implementation risks with practical mitigation steps.</w:t>
      </w:r>
    </w:p>
    <w:p>
      <w:pPr>
        <w:pStyle w:val="ListNumber"/>
      </w:pPr>
      <w:r>
        <w:t>Deliver prioritised recommendations and a repeatable process for future monitoring.</w:t>
      </w:r>
    </w:p>
    <w:p>
      <w:pPr>
        <w:pStyle w:val="Heading1"/>
      </w:pPr>
      <w:r>
        <w:t>5. Scope and Key Analytical Questions</w:t>
      </w:r>
    </w:p>
    <w:p>
      <w:r>
        <w:t>The framework can be applied to one selected digital public service, such as an online certificate application or grievance portal. The initial analysis should answer:</w:t>
      </w:r>
    </w:p>
    <w:p>
      <w:pPr>
        <w:pStyle w:val="ListBullet"/>
      </w:pPr>
      <w:r>
        <w:t>How many applications or requests are received, completed, rejected, and still pending?</w:t>
      </w:r>
    </w:p>
    <w:p>
      <w:pPr>
        <w:pStyle w:val="ListBullet"/>
      </w:pPr>
      <w:r>
        <w:t>What is the median and 90th-percentile processing time?</w:t>
      </w:r>
    </w:p>
    <w:p>
      <w:pPr>
        <w:pStyle w:val="ListBullet"/>
      </w:pPr>
      <w:r>
        <w:t>At which stage do delays or drop-offs occur most frequently?</w:t>
      </w:r>
    </w:p>
    <w:p>
      <w:pPr>
        <w:pStyle w:val="ListBullet"/>
      </w:pPr>
      <w:r>
        <w:t>What are the most common rejection reasons, complaint categories, and transaction failures?</w:t>
      </w:r>
    </w:p>
    <w:p>
      <w:pPr>
        <w:pStyle w:val="ListBullet"/>
      </w:pPr>
      <w:r>
        <w:t>Do outcomes differ by service type, district, channel, or time period?</w:t>
      </w:r>
    </w:p>
    <w:p>
      <w:pPr>
        <w:pStyle w:val="ListBullet"/>
      </w:pPr>
      <w:r>
        <w:t>Which improvements appear feasible and how will their effects be measured?</w:t>
      </w:r>
    </w:p>
    <w:p>
      <w:r>
        <w:t>Scope limitation: the project is a strategic framework. No actual service-level performance claims should be made until data are obtained, checked, and analysed. Comparisons between user groups should be made only when lawful, necessary, sufficiently aggregated, and methodologically fair.</w:t>
      </w:r>
    </w:p>
    <w:p>
      <w:pPr>
        <w:pStyle w:val="Heading1"/>
      </w:pPr>
      <w:r>
        <w:t>6. Data Collection Strategy</w:t>
      </w:r>
    </w:p>
    <w:p>
      <w:r>
        <w:t>Use only public, approved, or properly authorised data. Prefer aggregated or de-identified records.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FCE7D8"/>
          </w:tcPr>
          <w:p>
            <w:r>
              <w:rPr>
                <w:b/>
              </w:rPr>
              <w:t>Data source</w:t>
            </w:r>
          </w:p>
        </w:tc>
        <w:tc>
          <w:tcPr>
            <w:tcW w:type="dxa" w:w="2484"/>
            <w:shd w:fill="FCE7D8"/>
          </w:tcPr>
          <w:p>
            <w:r>
              <w:rPr>
                <w:b/>
              </w:rPr>
              <w:t>Potential fields</w:t>
            </w:r>
          </w:p>
        </w:tc>
        <w:tc>
          <w:tcPr>
            <w:tcW w:type="dxa" w:w="2484"/>
            <w:shd w:fill="FCE7D8"/>
          </w:tcPr>
          <w:p>
            <w:r>
              <w:rPr>
                <w:b/>
              </w:rPr>
              <w:t>Purpose</w:t>
            </w:r>
          </w:p>
        </w:tc>
        <w:tc>
          <w:tcPr>
            <w:tcW w:type="dxa" w:w="2484"/>
            <w:shd w:fill="FCE7D8"/>
          </w:tcPr>
          <w:p>
            <w:r>
              <w:rPr>
                <w:b/>
              </w:rPr>
              <w:t>Safeguard</w:t>
            </w:r>
          </w:p>
        </w:tc>
      </w:tr>
      <w:tr>
        <w:tc>
          <w:tcPr>
            <w:tcW w:type="dxa" w:w="2484"/>
            <w:vAlign w:val="center"/>
          </w:tcPr>
          <w:p>
            <w:r>
              <w:t>Service transaction logs</w:t>
            </w:r>
          </w:p>
        </w:tc>
        <w:tc>
          <w:tcPr>
            <w:tcW w:type="dxa" w:w="2484"/>
            <w:vAlign w:val="center"/>
          </w:tcPr>
          <w:p>
            <w:r>
              <w:t>Request date, service type, status, stage dates</w:t>
            </w:r>
          </w:p>
        </w:tc>
        <w:tc>
          <w:tcPr>
            <w:tcW w:type="dxa" w:w="2484"/>
            <w:vAlign w:val="center"/>
          </w:tcPr>
          <w:p>
            <w:r>
              <w:t>Volume, completion, delays</w:t>
            </w:r>
          </w:p>
        </w:tc>
        <w:tc>
          <w:tcPr>
            <w:tcW w:type="dxa" w:w="2484"/>
            <w:vAlign w:val="center"/>
          </w:tcPr>
          <w:p>
            <w:r>
              <w:t>Remove direct identifiers; restrict access</w:t>
            </w:r>
          </w:p>
        </w:tc>
      </w:tr>
      <w:tr>
        <w:tc>
          <w:tcPr>
            <w:tcW w:type="dxa" w:w="2484"/>
            <w:vAlign w:val="center"/>
          </w:tcPr>
          <w:p>
            <w:r>
              <w:t>Grievance records</w:t>
            </w:r>
          </w:p>
        </w:tc>
        <w:tc>
          <w:tcPr>
            <w:tcW w:type="dxa" w:w="2484"/>
            <w:vAlign w:val="center"/>
          </w:tcPr>
          <w:p>
            <w:r>
              <w:t>Category, date, status, resolution time</w:t>
            </w:r>
          </w:p>
        </w:tc>
        <w:tc>
          <w:tcPr>
            <w:tcW w:type="dxa" w:w="2484"/>
            <w:vAlign w:val="center"/>
          </w:tcPr>
          <w:p>
            <w:r>
              <w:t>Identify recurring pain points</w:t>
            </w:r>
          </w:p>
        </w:tc>
        <w:tc>
          <w:tcPr>
            <w:tcW w:type="dxa" w:w="2484"/>
            <w:vAlign w:val="center"/>
          </w:tcPr>
          <w:p>
            <w:r>
              <w:t>Redact names, phone numbers, and free-text identifiers</w:t>
            </w:r>
          </w:p>
        </w:tc>
      </w:tr>
      <w:tr>
        <w:tc>
          <w:tcPr>
            <w:tcW w:type="dxa" w:w="2484"/>
            <w:vAlign w:val="center"/>
          </w:tcPr>
          <w:p>
            <w:r>
              <w:t>Citizen feedback</w:t>
            </w:r>
          </w:p>
        </w:tc>
        <w:tc>
          <w:tcPr>
            <w:tcW w:type="dxa" w:w="2484"/>
            <w:vAlign w:val="center"/>
          </w:tcPr>
          <w:p>
            <w:r>
              <w:t>Rating, topic, channel, date</w:t>
            </w:r>
          </w:p>
        </w:tc>
        <w:tc>
          <w:tcPr>
            <w:tcW w:type="dxa" w:w="2484"/>
            <w:vAlign w:val="center"/>
          </w:tcPr>
          <w:p>
            <w:r>
              <w:t>Understand experience</w:t>
            </w:r>
          </w:p>
        </w:tc>
        <w:tc>
          <w:tcPr>
            <w:tcW w:type="dxa" w:w="2484"/>
            <w:vAlign w:val="center"/>
          </w:tcPr>
          <w:p>
            <w:r>
              <w:t>Use consent/approved collection and aggregate reporting</w:t>
            </w:r>
          </w:p>
        </w:tc>
      </w:tr>
      <w:tr>
        <w:tc>
          <w:tcPr>
            <w:tcW w:type="dxa" w:w="2484"/>
            <w:vAlign w:val="center"/>
          </w:tcPr>
          <w:p>
            <w:r>
              <w:t>Portal analytics</w:t>
            </w:r>
          </w:p>
        </w:tc>
        <w:tc>
          <w:tcPr>
            <w:tcW w:type="dxa" w:w="2484"/>
            <w:vAlign w:val="center"/>
          </w:tcPr>
          <w:p>
            <w:r>
              <w:t>Page visits, errors, funnel events</w:t>
            </w:r>
          </w:p>
        </w:tc>
        <w:tc>
          <w:tcPr>
            <w:tcW w:type="dxa" w:w="2484"/>
            <w:vAlign w:val="center"/>
          </w:tcPr>
          <w:p>
            <w:r>
              <w:t>Find usability issues and drop-offs</w:t>
            </w:r>
          </w:p>
        </w:tc>
        <w:tc>
          <w:tcPr>
            <w:tcW w:type="dxa" w:w="2484"/>
            <w:vAlign w:val="center"/>
          </w:tcPr>
          <w:p>
            <w:r>
              <w:t>Use privacy-respecting analytics and minimise tracking</w:t>
            </w:r>
          </w:p>
        </w:tc>
      </w:tr>
      <w:tr>
        <w:tc>
          <w:tcPr>
            <w:tcW w:type="dxa" w:w="2484"/>
            <w:vAlign w:val="center"/>
          </w:tcPr>
          <w:p>
            <w:r>
              <w:t>Public service standards</w:t>
            </w:r>
          </w:p>
        </w:tc>
        <w:tc>
          <w:tcPr>
            <w:tcW w:type="dxa" w:w="2484"/>
            <w:vAlign w:val="center"/>
          </w:tcPr>
          <w:p>
            <w:r>
              <w:t>Target timelines, eligibility, service definitions</w:t>
            </w:r>
          </w:p>
        </w:tc>
        <w:tc>
          <w:tcPr>
            <w:tcW w:type="dxa" w:w="2484"/>
            <w:vAlign w:val="center"/>
          </w:tcPr>
          <w:p>
            <w:r>
              <w:t>Set benchmarks and interpret results</w:t>
            </w:r>
          </w:p>
        </w:tc>
        <w:tc>
          <w:tcPr>
            <w:tcW w:type="dxa" w:w="2484"/>
            <w:vAlign w:val="center"/>
          </w:tcPr>
          <w:p>
            <w:r>
              <w:t>Record source and date; verify current validity</w:t>
            </w:r>
          </w:p>
        </w:tc>
      </w:tr>
    </w:tbl>
    <w:p>
      <w:r>
        <w:t>Before analysis, create a data dictionary defining each field, unit, permitted values, owner, and refresh frequency. Document the extraction date, exclusions, transformations, and any limitations so the work can be reproduced.</w:t>
      </w:r>
    </w:p>
    <w:p>
      <w:pPr>
        <w:pStyle w:val="Heading1"/>
      </w:pPr>
      <w:r>
        <w:t>7. Methodology and Tools</w:t>
      </w:r>
    </w:p>
    <w:p>
      <w:pPr>
        <w:pStyle w:val="Heading2"/>
      </w:pPr>
      <w:r>
        <w:t>7.1 Workflow</w:t>
      </w:r>
    </w:p>
    <w:p>
      <w:pPr>
        <w:pStyle w:val="ListNumber"/>
      </w:pPr>
      <w:r>
        <w:t>Define the decision to be supported and translate it into answerable analytical questions.</w:t>
      </w:r>
    </w:p>
    <w:p>
      <w:pPr>
        <w:pStyle w:val="ListNumber"/>
      </w:pPr>
      <w:r>
        <w:t>Identify the data owner, legal basis or authorisation, permitted use, and minimum fields needed.</w:t>
      </w:r>
    </w:p>
    <w:p>
      <w:pPr>
        <w:pStyle w:val="ListNumber"/>
      </w:pPr>
      <w:r>
        <w:t>Acquire the data and document source, time period, and extraction method.</w:t>
      </w:r>
    </w:p>
    <w:p>
      <w:pPr>
        <w:pStyle w:val="ListNumber"/>
      </w:pPr>
      <w:r>
        <w:t>Profile data quality: row counts, missingness, duplicates, valid ranges, category consistency, and date logic.</w:t>
      </w:r>
    </w:p>
    <w:p>
      <w:pPr>
        <w:pStyle w:val="ListNumber"/>
      </w:pPr>
      <w:r>
        <w:t>Clean and transform data with logged, reversible steps; do not silently discard inconvenient records.</w:t>
      </w:r>
    </w:p>
    <w:p>
      <w:pPr>
        <w:pStyle w:val="ListNumber"/>
      </w:pPr>
      <w:r>
        <w:t>Perform exploratory analysis using counts, percentages, distributions, time trends, and appropriate group comparisons.</w:t>
      </w:r>
    </w:p>
    <w:p>
      <w:pPr>
        <w:pStyle w:val="ListNumber"/>
      </w:pPr>
      <w:r>
        <w:t>Calculate KPIs and compare results with published service standards or a clearly defined baseline.</w:t>
      </w:r>
    </w:p>
    <w:p>
      <w:pPr>
        <w:pStyle w:val="ListNumber"/>
      </w:pPr>
      <w:r>
        <w:t>Validate patterns with service staff or subject-matter experts and distinguish evidence from hypotheses.</w:t>
      </w:r>
    </w:p>
    <w:p>
      <w:pPr>
        <w:pStyle w:val="ListNumber"/>
      </w:pPr>
      <w:r>
        <w:t>Present results with a dashboard, limitations, prioritised recommendations, and a monitoring plan.</w:t>
      </w:r>
    </w:p>
    <w:p>
      <w:pPr>
        <w:pStyle w:val="Heading2"/>
      </w:pPr>
      <w:r>
        <w:t>7.2 Suggested methods and tools</w:t>
      </w:r>
    </w:p>
    <w:p>
      <w:pPr>
        <w:pStyle w:val="ListBullet"/>
      </w:pPr>
      <w:r>
        <w:t>Excel: initial inspection, pivot tables, and quick quality checks on small datasets.</w:t>
      </w:r>
    </w:p>
    <w:p>
      <w:pPr>
        <w:pStyle w:val="ListBullet"/>
      </w:pPr>
      <w:r>
        <w:t>Python with Pandas and NumPy: repeatable cleaning, transformations, grouping, and calculations.</w:t>
      </w:r>
    </w:p>
    <w:p>
      <w:pPr>
        <w:pStyle w:val="ListBullet"/>
      </w:pPr>
      <w:r>
        <w:t>Matplotlib or Seaborn: charts for distributions, trends, and comparisons.</w:t>
      </w:r>
    </w:p>
    <w:p>
      <w:pPr>
        <w:pStyle w:val="ListBullet"/>
      </w:pPr>
      <w:r>
        <w:t>Power BI: interactive KPI dashboard with filters and clear definitions.</w:t>
      </w:r>
    </w:p>
    <w:p>
      <w:pPr>
        <w:pStyle w:val="ListBullet"/>
      </w:pPr>
      <w:r>
        <w:t>SQL: structured queries when data are stored in a relational database.</w:t>
      </w:r>
    </w:p>
    <w:p>
      <w:pPr>
        <w:pStyle w:val="ListBullet"/>
      </w:pPr>
      <w:r>
        <w:t>Descriptive statistics: counts, rates, median, percentiles, and trend comparisons.</w:t>
      </w:r>
    </w:p>
    <w:p>
      <w:pPr>
        <w:pStyle w:val="ListBullet"/>
      </w:pPr>
      <w:r>
        <w:t>Optional inferential analysis: confidence intervals or suitable tests only when sampling, assumptions, and sample size justify them.</w:t>
      </w:r>
    </w:p>
    <w:p>
      <w:r>
        <w:t>Tool selection should follow the data size, available permissions, team skills, and reporting needs. Avoid complex machine learning unless a clearly defined prediction problem and sufficient, appropriate data exist.</w:t>
      </w:r>
    </w:p>
    <w:p>
      <w:pPr>
        <w:pStyle w:val="Heading1"/>
      </w:pPr>
      <w:r>
        <w:t>8. KPI Framework</w:t>
      </w:r>
    </w:p>
    <w:tbl>
      <w:tblPr>
        <w:tblStyle w:val="TableGrid"/>
        <w:tblW w:type="auto" w:w="0"/>
        <w:tblLook w:firstColumn="1" w:firstRow="1" w:lastColumn="0" w:lastRow="0" w:noHBand="0" w:noVBand="1" w:val="04A0"/>
      </w:tblPr>
      <w:tblGrid>
        <w:gridCol w:w="3312"/>
        <w:gridCol w:w="3312"/>
        <w:gridCol w:w="3312"/>
      </w:tblGrid>
      <w:tr>
        <w:tc>
          <w:tcPr>
            <w:tcW w:type="dxa" w:w="3312"/>
            <w:shd w:fill="FCE7D8"/>
          </w:tcPr>
          <w:p>
            <w:r>
              <w:rPr>
                <w:b/>
              </w:rPr>
              <w:t>KPI</w:t>
            </w:r>
          </w:p>
        </w:tc>
        <w:tc>
          <w:tcPr>
            <w:tcW w:type="dxa" w:w="3312"/>
            <w:shd w:fill="FCE7D8"/>
          </w:tcPr>
          <w:p>
            <w:r>
              <w:rPr>
                <w:b/>
              </w:rPr>
              <w:t>Definition / calculation</w:t>
            </w:r>
          </w:p>
        </w:tc>
        <w:tc>
          <w:tcPr>
            <w:tcW w:type="dxa" w:w="3312"/>
            <w:shd w:fill="FCE7D8"/>
          </w:tcPr>
          <w:p>
            <w:r>
              <w:rPr>
                <w:b/>
              </w:rPr>
              <w:t>Interpretation</w:t>
            </w:r>
          </w:p>
        </w:tc>
      </w:tr>
      <w:tr>
        <w:tc>
          <w:tcPr>
            <w:tcW w:type="dxa" w:w="3312"/>
          </w:tcPr>
          <w:p>
            <w:r>
              <w:t>Completion rate</w:t>
            </w:r>
          </w:p>
        </w:tc>
        <w:tc>
          <w:tcPr>
            <w:tcW w:type="dxa" w:w="3312"/>
          </w:tcPr>
          <w:p>
            <w:r>
              <w:t>Completed requests ÷ total eligible requests × 100</w:t>
            </w:r>
          </w:p>
        </w:tc>
        <w:tc>
          <w:tcPr>
            <w:tcW w:type="dxa" w:w="3312"/>
          </w:tcPr>
          <w:p>
            <w:r>
              <w:t>Share of requests completed</w:t>
            </w:r>
          </w:p>
        </w:tc>
      </w:tr>
      <w:tr>
        <w:tc>
          <w:tcPr>
            <w:tcW w:type="dxa" w:w="3312"/>
          </w:tcPr>
          <w:p>
            <w:r>
              <w:t>Rejection rate</w:t>
            </w:r>
          </w:p>
        </w:tc>
        <w:tc>
          <w:tcPr>
            <w:tcW w:type="dxa" w:w="3312"/>
          </w:tcPr>
          <w:p>
            <w:r>
              <w:t>Rejected requests ÷ decided requests × 100</w:t>
            </w:r>
          </w:p>
        </w:tc>
        <w:tc>
          <w:tcPr>
            <w:tcW w:type="dxa" w:w="3312"/>
          </w:tcPr>
          <w:p>
            <w:r>
              <w:t>Review rejection reasons and eligibility rules</w:t>
            </w:r>
          </w:p>
        </w:tc>
      </w:tr>
      <w:tr>
        <w:tc>
          <w:tcPr>
            <w:tcW w:type="dxa" w:w="3312"/>
          </w:tcPr>
          <w:p>
            <w:r>
              <w:t>Pending backlog</w:t>
            </w:r>
          </w:p>
        </w:tc>
        <w:tc>
          <w:tcPr>
            <w:tcW w:type="dxa" w:w="3312"/>
          </w:tcPr>
          <w:p>
            <w:r>
              <w:t>Count of open requests at a defined date</w:t>
            </w:r>
          </w:p>
        </w:tc>
        <w:tc>
          <w:tcPr>
            <w:tcW w:type="dxa" w:w="3312"/>
          </w:tcPr>
          <w:p>
            <w:r>
              <w:t>Size of unresolved workload</w:t>
            </w:r>
          </w:p>
        </w:tc>
      </w:tr>
      <w:tr>
        <w:tc>
          <w:tcPr>
            <w:tcW w:type="dxa" w:w="3312"/>
          </w:tcPr>
          <w:p>
            <w:r>
              <w:t>Median turnaround time</w:t>
            </w:r>
          </w:p>
        </w:tc>
        <w:tc>
          <w:tcPr>
            <w:tcW w:type="dxa" w:w="3312"/>
          </w:tcPr>
          <w:p>
            <w:r>
              <w:t>Median of completion time minus submission time</w:t>
            </w:r>
          </w:p>
        </w:tc>
        <w:tc>
          <w:tcPr>
            <w:tcW w:type="dxa" w:w="3312"/>
          </w:tcPr>
          <w:p>
            <w:r>
              <w:t>Typical processing duration, less sensitive to outliers</w:t>
            </w:r>
          </w:p>
        </w:tc>
      </w:tr>
      <w:tr>
        <w:tc>
          <w:tcPr>
            <w:tcW w:type="dxa" w:w="3312"/>
          </w:tcPr>
          <w:p>
            <w:r>
              <w:t>90th-percentile turnaround</w:t>
            </w:r>
          </w:p>
        </w:tc>
        <w:tc>
          <w:tcPr>
            <w:tcW w:type="dxa" w:w="3312"/>
          </w:tcPr>
          <w:p>
            <w:r>
              <w:t>90th percentile of processing duration</w:t>
            </w:r>
          </w:p>
        </w:tc>
        <w:tc>
          <w:tcPr>
            <w:tcW w:type="dxa" w:w="3312"/>
          </w:tcPr>
          <w:p>
            <w:r>
              <w:t>Experience of slower cases</w:t>
            </w:r>
          </w:p>
        </w:tc>
      </w:tr>
      <w:tr>
        <w:tc>
          <w:tcPr>
            <w:tcW w:type="dxa" w:w="3312"/>
          </w:tcPr>
          <w:p>
            <w:r>
              <w:t>On-time completion</w:t>
            </w:r>
          </w:p>
        </w:tc>
        <w:tc>
          <w:tcPr>
            <w:tcW w:type="dxa" w:w="3312"/>
          </w:tcPr>
          <w:p>
            <w:r>
              <w:t>Requests completed within published target ÷ completed requests × 100</w:t>
            </w:r>
          </w:p>
        </w:tc>
        <w:tc>
          <w:tcPr>
            <w:tcW w:type="dxa" w:w="3312"/>
          </w:tcPr>
          <w:p>
            <w:r>
              <w:t>Adherence to service standards</w:t>
            </w:r>
          </w:p>
        </w:tc>
      </w:tr>
      <w:tr>
        <w:tc>
          <w:tcPr>
            <w:tcW w:type="dxa" w:w="3312"/>
          </w:tcPr>
          <w:p>
            <w:r>
              <w:t>Complaint resolution rate</w:t>
            </w:r>
          </w:p>
        </w:tc>
        <w:tc>
          <w:tcPr>
            <w:tcW w:type="dxa" w:w="3312"/>
          </w:tcPr>
          <w:p>
            <w:r>
              <w:t>Resolved complaints ÷ complaints received in the period × 100</w:t>
            </w:r>
          </w:p>
        </w:tc>
        <w:tc>
          <w:tcPr>
            <w:tcW w:type="dxa" w:w="3312"/>
          </w:tcPr>
          <w:p>
            <w:r>
              <w:t>Complaint handling performance</w:t>
            </w:r>
          </w:p>
        </w:tc>
      </w:tr>
      <w:tr>
        <w:tc>
          <w:tcPr>
            <w:tcW w:type="dxa" w:w="3312"/>
          </w:tcPr>
          <w:p>
            <w:r>
              <w:t>Portal error rate</w:t>
            </w:r>
          </w:p>
        </w:tc>
        <w:tc>
          <w:tcPr>
            <w:tcW w:type="dxa" w:w="3312"/>
          </w:tcPr>
          <w:p>
            <w:r>
              <w:t>Failed transactions ÷ attempted transactions × 100</w:t>
            </w:r>
          </w:p>
        </w:tc>
        <w:tc>
          <w:tcPr>
            <w:tcW w:type="dxa" w:w="3312"/>
          </w:tcPr>
          <w:p>
            <w:r>
              <w:t>Reliability, if event data are reliable</w:t>
            </w:r>
          </w:p>
        </w:tc>
      </w:tr>
      <w:tr>
        <w:tc>
          <w:tcPr>
            <w:tcW w:type="dxa" w:w="3312"/>
          </w:tcPr>
          <w:p>
            <w:r>
              <w:t>User satisfaction</w:t>
            </w:r>
          </w:p>
        </w:tc>
        <w:tc>
          <w:tcPr>
            <w:tcW w:type="dxa" w:w="3312"/>
          </w:tcPr>
          <w:p>
            <w:r>
              <w:t>Average or distribution of valid survey ratings</w:t>
            </w:r>
          </w:p>
        </w:tc>
        <w:tc>
          <w:tcPr>
            <w:tcW w:type="dxa" w:w="3312"/>
          </w:tcPr>
          <w:p>
            <w:r>
              <w:t>Reported experience; check response bias</w:t>
            </w:r>
          </w:p>
        </w:tc>
      </w:tr>
    </w:tbl>
    <w:p>
      <w:r>
        <w:t>Every KPI must specify its numerator, denominator, time window, exclusions, owner, and refresh frequency. Do not compare rates across services unless definitions and populations are sufficiently comparable.</w:t>
      </w:r>
    </w:p>
    <w:p>
      <w:pPr>
        <w:pStyle w:val="Heading1"/>
      </w:pPr>
      <w:r>
        <w:t>9. Proposed Dashboard and Reporting Plan</w:t>
      </w:r>
    </w:p>
    <w:p>
      <w:pPr>
        <w:pStyle w:val="ListBullet"/>
      </w:pPr>
      <w:r>
        <w:t>Overview cards: total requests, completion rate, pending backlog, median processing time, and on-time completion.</w:t>
      </w:r>
    </w:p>
    <w:p>
      <w:pPr>
        <w:pStyle w:val="ListBullet"/>
      </w:pPr>
      <w:r>
        <w:t>Trend charts: monthly or weekly submissions, completions, complaints, and service delays.</w:t>
      </w:r>
    </w:p>
    <w:p>
      <w:pPr>
        <w:pStyle w:val="ListBullet"/>
      </w:pPr>
      <w:r>
        <w:t>Stage analysis: counts and processing time at each step of the service journey.</w:t>
      </w:r>
    </w:p>
    <w:p>
      <w:pPr>
        <w:pStyle w:val="ListBullet"/>
      </w:pPr>
      <w:r>
        <w:t>Reason analysis: common rejection, error, and complaint categories.</w:t>
      </w:r>
    </w:p>
    <w:p>
      <w:pPr>
        <w:pStyle w:val="ListBullet"/>
      </w:pPr>
      <w:r>
        <w:t>Filters: service type, time period, district or channel where appropriate and safe.</w:t>
      </w:r>
    </w:p>
    <w:p>
      <w:pPr>
        <w:pStyle w:val="ListBullet"/>
      </w:pPr>
      <w:r>
        <w:t>Action panel: issue, supporting evidence, recommended owner, priority, target date, and success measure.</w:t>
      </w:r>
    </w:p>
    <w:p>
      <w:r>
        <w:t>Use plain labels, readable colours, accessible contrast, and text alternatives where possible. Show the reporting period and data freshness. Avoid publishing small groups or detailed records that could reveal individuals.</w:t>
      </w:r>
    </w:p>
    <w:p>
      <w:pPr>
        <w:pStyle w:val="Heading1"/>
      </w:pPr>
      <w:r>
        <w:t>10. Timeline and Milestones (30–35 Hours)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FCE7D8"/>
          </w:tcPr>
          <w:p>
            <w:r>
              <w:rPr>
                <w:b/>
              </w:rPr>
              <w:t>Phase</w:t>
            </w:r>
          </w:p>
        </w:tc>
        <w:tc>
          <w:tcPr>
            <w:tcW w:type="dxa" w:w="2484"/>
            <w:shd w:fill="FCE7D8"/>
          </w:tcPr>
          <w:p>
            <w:r>
              <w:rPr>
                <w:b/>
              </w:rPr>
              <w:t>Activities</w:t>
            </w:r>
          </w:p>
        </w:tc>
        <w:tc>
          <w:tcPr>
            <w:tcW w:type="dxa" w:w="2484"/>
            <w:shd w:fill="FCE7D8"/>
          </w:tcPr>
          <w:p>
            <w:r>
              <w:rPr>
                <w:b/>
              </w:rPr>
              <w:t>Hours</w:t>
            </w:r>
          </w:p>
        </w:tc>
        <w:tc>
          <w:tcPr>
            <w:tcW w:type="dxa" w:w="2484"/>
            <w:shd w:fill="FCE7D8"/>
          </w:tcPr>
          <w:p>
            <w:r>
              <w:rPr>
                <w:b/>
              </w:rPr>
              <w:t>Milestone</w:t>
            </w:r>
          </w:p>
        </w:tc>
      </w:tr>
      <w:tr>
        <w:tc>
          <w:tcPr>
            <w:tcW w:type="dxa" w:w="2484"/>
          </w:tcPr>
          <w:p>
            <w:r>
              <w:t>1. Research and scoping</w:t>
            </w:r>
          </w:p>
        </w:tc>
        <w:tc>
          <w:tcPr>
            <w:tcW w:type="dxa" w:w="2484"/>
          </w:tcPr>
          <w:p>
            <w:r>
              <w:t>Review digital service context; define problem and scope</w:t>
            </w:r>
          </w:p>
        </w:tc>
        <w:tc>
          <w:tcPr>
            <w:tcW w:type="dxa" w:w="2484"/>
          </w:tcPr>
          <w:p>
            <w:r>
              <w:t>4</w:t>
            </w:r>
          </w:p>
        </w:tc>
        <w:tc>
          <w:tcPr>
            <w:tcW w:type="dxa" w:w="2484"/>
          </w:tcPr>
          <w:p>
            <w:r>
              <w:t>Approved problem statement</w:t>
            </w:r>
          </w:p>
        </w:tc>
      </w:tr>
      <w:tr>
        <w:tc>
          <w:tcPr>
            <w:tcW w:type="dxa" w:w="2484"/>
          </w:tcPr>
          <w:p>
            <w:r>
              <w:t>2. Objectives and questions</w:t>
            </w:r>
          </w:p>
        </w:tc>
        <w:tc>
          <w:tcPr>
            <w:tcW w:type="dxa" w:w="2484"/>
          </w:tcPr>
          <w:p>
            <w:r>
              <w:t>Define objectives, stakeholders, and analytical questions</w:t>
            </w:r>
          </w:p>
        </w:tc>
        <w:tc>
          <w:tcPr>
            <w:tcW w:type="dxa" w:w="2484"/>
          </w:tcPr>
          <w:p>
            <w:r>
              <w:t>3</w:t>
            </w:r>
          </w:p>
        </w:tc>
        <w:tc>
          <w:tcPr>
            <w:tcW w:type="dxa" w:w="2484"/>
          </w:tcPr>
          <w:p>
            <w:r>
              <w:t>Objective and question list</w:t>
            </w:r>
          </w:p>
        </w:tc>
      </w:tr>
      <w:tr>
        <w:tc>
          <w:tcPr>
            <w:tcW w:type="dxa" w:w="2484"/>
          </w:tcPr>
          <w:p>
            <w:r>
              <w:t>3. Data plan</w:t>
            </w:r>
          </w:p>
        </w:tc>
        <w:tc>
          <w:tcPr>
            <w:tcW w:type="dxa" w:w="2484"/>
          </w:tcPr>
          <w:p>
            <w:r>
              <w:t>Map sources, fields, access, data dictionary, and safeguards</w:t>
            </w:r>
          </w:p>
        </w:tc>
        <w:tc>
          <w:tcPr>
            <w:tcW w:type="dxa" w:w="2484"/>
          </w:tcPr>
          <w:p>
            <w:r>
              <w:t>4</w:t>
            </w:r>
          </w:p>
        </w:tc>
        <w:tc>
          <w:tcPr>
            <w:tcW w:type="dxa" w:w="2484"/>
          </w:tcPr>
          <w:p>
            <w:r>
              <w:t>Data collection plan</w:t>
            </w:r>
          </w:p>
        </w:tc>
      </w:tr>
      <w:tr>
        <w:tc>
          <w:tcPr>
            <w:tcW w:type="dxa" w:w="2484"/>
          </w:tcPr>
          <w:p>
            <w:r>
              <w:t>4. Quality and methodology</w:t>
            </w:r>
          </w:p>
        </w:tc>
        <w:tc>
          <w:tcPr>
            <w:tcW w:type="dxa" w:w="2484"/>
          </w:tcPr>
          <w:p>
            <w:r>
              <w:t>Set quality checks, cleaning rules, methods, and tools</w:t>
            </w:r>
          </w:p>
        </w:tc>
        <w:tc>
          <w:tcPr>
            <w:tcW w:type="dxa" w:w="2484"/>
          </w:tcPr>
          <w:p>
            <w:r>
              <w:t>5</w:t>
            </w:r>
          </w:p>
        </w:tc>
        <w:tc>
          <w:tcPr>
            <w:tcW w:type="dxa" w:w="2484"/>
          </w:tcPr>
          <w:p>
            <w:r>
              <w:t>Analysis protocol</w:t>
            </w:r>
          </w:p>
        </w:tc>
      </w:tr>
      <w:tr>
        <w:tc>
          <w:tcPr>
            <w:tcW w:type="dxa" w:w="2484"/>
          </w:tcPr>
          <w:p>
            <w:r>
              <w:t>5. KPI and dashboard design</w:t>
            </w:r>
          </w:p>
        </w:tc>
        <w:tc>
          <w:tcPr>
            <w:tcW w:type="dxa" w:w="2484"/>
          </w:tcPr>
          <w:p>
            <w:r>
              <w:t>Define formulas, mock-up layout, and reporting cadence</w:t>
            </w:r>
          </w:p>
        </w:tc>
        <w:tc>
          <w:tcPr>
            <w:tcW w:type="dxa" w:w="2484"/>
          </w:tcPr>
          <w:p>
            <w:r>
              <w:t>5</w:t>
            </w:r>
          </w:p>
        </w:tc>
        <w:tc>
          <w:tcPr>
            <w:tcW w:type="dxa" w:w="2484"/>
          </w:tcPr>
          <w:p>
            <w:r>
              <w:t>KPI catalogue and dashboard sketch</w:t>
            </w:r>
          </w:p>
        </w:tc>
      </w:tr>
      <w:tr>
        <w:tc>
          <w:tcPr>
            <w:tcW w:type="dxa" w:w="2484"/>
          </w:tcPr>
          <w:p>
            <w:r>
              <w:t>6. Risk and validation</w:t>
            </w:r>
          </w:p>
        </w:tc>
        <w:tc>
          <w:tcPr>
            <w:tcW w:type="dxa" w:w="2484"/>
          </w:tcPr>
          <w:p>
            <w:r>
              <w:t>Assess privacy, bias, missingness, and implementation risks</w:t>
            </w:r>
          </w:p>
        </w:tc>
        <w:tc>
          <w:tcPr>
            <w:tcW w:type="dxa" w:w="2484"/>
          </w:tcPr>
          <w:p>
            <w:r>
              <w:t>4</w:t>
            </w:r>
          </w:p>
        </w:tc>
        <w:tc>
          <w:tcPr>
            <w:tcW w:type="dxa" w:w="2484"/>
          </w:tcPr>
          <w:p>
            <w:r>
              <w:t>Risk register</w:t>
            </w:r>
          </w:p>
        </w:tc>
      </w:tr>
      <w:tr>
        <w:tc>
          <w:tcPr>
            <w:tcW w:type="dxa" w:w="2484"/>
          </w:tcPr>
          <w:p>
            <w:r>
              <w:t>7. Recommendations</w:t>
            </w:r>
          </w:p>
        </w:tc>
        <w:tc>
          <w:tcPr>
            <w:tcW w:type="dxa" w:w="2484"/>
          </w:tcPr>
          <w:p>
            <w:r>
              <w:t>Prioritise actions and define evaluation approach</w:t>
            </w:r>
          </w:p>
        </w:tc>
        <w:tc>
          <w:tcPr>
            <w:tcW w:type="dxa" w:w="2484"/>
          </w:tcPr>
          <w:p>
            <w:r>
              <w:t>3</w:t>
            </w:r>
          </w:p>
        </w:tc>
        <w:tc>
          <w:tcPr>
            <w:tcW w:type="dxa" w:w="2484"/>
          </w:tcPr>
          <w:p>
            <w:r>
              <w:t>Action plan</w:t>
            </w:r>
          </w:p>
        </w:tc>
      </w:tr>
      <w:tr>
        <w:tc>
          <w:tcPr>
            <w:tcW w:type="dxa" w:w="2484"/>
          </w:tcPr>
          <w:p>
            <w:r>
              <w:t>8. Report and review</w:t>
            </w:r>
          </w:p>
        </w:tc>
        <w:tc>
          <w:tcPr>
            <w:tcW w:type="dxa" w:w="2484"/>
          </w:tcPr>
          <w:p>
            <w:r>
              <w:t>Write, proofread, format, and verify references</w:t>
            </w:r>
          </w:p>
        </w:tc>
        <w:tc>
          <w:tcPr>
            <w:tcW w:type="dxa" w:w="2484"/>
          </w:tcPr>
          <w:p>
            <w:r>
              <w:t>5</w:t>
            </w:r>
          </w:p>
        </w:tc>
        <w:tc>
          <w:tcPr>
            <w:tcW w:type="dxa" w:w="2484"/>
          </w:tcPr>
          <w:p>
            <w:r>
              <w:t>Final Word report</w:t>
            </w:r>
          </w:p>
        </w:tc>
      </w:tr>
      <w:tr>
        <w:tc>
          <w:tcPr>
            <w:tcW w:type="dxa" w:w="2484"/>
            <w:shd w:fill="E8F1FB"/>
          </w:tcPr>
          <w:p>
            <w:r>
              <w:rPr>
                <w:b/>
              </w:rPr>
              <w:t>TOTAL</w:t>
            </w:r>
          </w:p>
        </w:tc>
        <w:tc>
          <w:tcPr>
            <w:tcW w:type="dxa" w:w="2484"/>
            <w:shd w:fill="E8F1FB"/>
          </w:tcPr>
          <w:p>
            <w:r>
              <w:rPr>
                <w:b/>
              </w:rPr>
              <w:t>Planning and report preparation</w:t>
            </w:r>
          </w:p>
        </w:tc>
        <w:tc>
          <w:tcPr>
            <w:tcW w:type="dxa" w:w="2484"/>
            <w:shd w:fill="E8F1FB"/>
          </w:tcPr>
          <w:p>
            <w:r>
              <w:rPr>
                <w:b/>
              </w:rPr>
              <w:t>33</w:t>
            </w:r>
          </w:p>
        </w:tc>
        <w:tc>
          <w:tcPr>
            <w:tcW w:type="dxa" w:w="2484"/>
            <w:shd w:fill="E8F1FB"/>
          </w:tcPr>
          <w:p>
            <w:r>
              <w:rPr>
                <w:b/>
              </w:rPr>
              <w:t>Submission-ready deliverable</w:t>
            </w:r>
          </w:p>
        </w:tc>
      </w:tr>
    </w:tbl>
    <w:p>
      <w:pPr>
        <w:pStyle w:val="Heading1"/>
      </w:pPr>
      <w:r>
        <w:t>11. Risk Assessment and Mitigation</w:t>
      </w:r>
    </w:p>
    <w:tbl>
      <w:tblPr>
        <w:tblStyle w:val="TableGrid"/>
        <w:tblW w:type="auto" w:w="0"/>
        <w:tblLook w:firstColumn="1" w:firstRow="1" w:lastColumn="0" w:lastRow="0" w:noHBand="0" w:noVBand="1" w:val="04A0"/>
      </w:tblPr>
      <w:tblGrid>
        <w:gridCol w:w="3312"/>
        <w:gridCol w:w="3312"/>
        <w:gridCol w:w="3312"/>
      </w:tblGrid>
      <w:tr>
        <w:tc>
          <w:tcPr>
            <w:tcW w:type="dxa" w:w="3312"/>
            <w:shd w:fill="FCE7D8"/>
          </w:tcPr>
          <w:p>
            <w:r>
              <w:rPr>
                <w:b/>
              </w:rPr>
              <w:t>Risk</w:t>
            </w:r>
          </w:p>
        </w:tc>
        <w:tc>
          <w:tcPr>
            <w:tcW w:type="dxa" w:w="3312"/>
            <w:shd w:fill="FCE7D8"/>
          </w:tcPr>
          <w:p>
            <w:r>
              <w:rPr>
                <w:b/>
              </w:rPr>
              <w:t>Potential effect</w:t>
            </w:r>
          </w:p>
        </w:tc>
        <w:tc>
          <w:tcPr>
            <w:tcW w:type="dxa" w:w="3312"/>
            <w:shd w:fill="FCE7D8"/>
          </w:tcPr>
          <w:p>
            <w:r>
              <w:rPr>
                <w:b/>
              </w:rPr>
              <w:t>Mitigation</w:t>
            </w:r>
          </w:p>
        </w:tc>
      </w:tr>
      <w:tr>
        <w:tc>
          <w:tcPr>
            <w:tcW w:type="dxa" w:w="3312"/>
          </w:tcPr>
          <w:p>
            <w:r>
              <w:t>Incomplete or inaccurate data</w:t>
            </w:r>
          </w:p>
        </w:tc>
        <w:tc>
          <w:tcPr>
            <w:tcW w:type="dxa" w:w="3312"/>
          </w:tcPr>
          <w:p>
            <w:r>
              <w:t>Biased or misleading indicators</w:t>
            </w:r>
          </w:p>
        </w:tc>
        <w:tc>
          <w:tcPr>
            <w:tcW w:type="dxa" w:w="3312"/>
          </w:tcPr>
          <w:p>
            <w:r>
              <w:t>Profile data first; record missingness; validate with owners; disclose limits</w:t>
            </w:r>
          </w:p>
        </w:tc>
      </w:tr>
      <w:tr>
        <w:tc>
          <w:tcPr>
            <w:tcW w:type="dxa" w:w="3312"/>
          </w:tcPr>
          <w:p>
            <w:r>
              <w:t>Unauthorised access or disclosure</w:t>
            </w:r>
          </w:p>
        </w:tc>
        <w:tc>
          <w:tcPr>
            <w:tcW w:type="dxa" w:w="3312"/>
          </w:tcPr>
          <w:p>
            <w:r>
              <w:t>Privacy and legal harm</w:t>
            </w:r>
          </w:p>
        </w:tc>
        <w:tc>
          <w:tcPr>
            <w:tcW w:type="dxa" w:w="3312"/>
          </w:tcPr>
          <w:p>
            <w:r>
              <w:t>Use approved data, minimum fields, de-identification, access controls, and secure storage</w:t>
            </w:r>
          </w:p>
        </w:tc>
      </w:tr>
      <w:tr>
        <w:tc>
          <w:tcPr>
            <w:tcW w:type="dxa" w:w="3312"/>
          </w:tcPr>
          <w:p>
            <w:r>
              <w:t>Inconsistent KPI definitions</w:t>
            </w:r>
          </w:p>
        </w:tc>
        <w:tc>
          <w:tcPr>
            <w:tcW w:type="dxa" w:w="3312"/>
          </w:tcPr>
          <w:p>
            <w:r>
              <w:t>Unfair or invalid comparisons</w:t>
            </w:r>
          </w:p>
        </w:tc>
        <w:tc>
          <w:tcPr>
            <w:tcW w:type="dxa" w:w="3312"/>
          </w:tcPr>
          <w:p>
            <w:r>
              <w:t>Maintain a shared data dictionary and version-controlled KPI formulas</w:t>
            </w:r>
          </w:p>
        </w:tc>
      </w:tr>
      <w:tr>
        <w:tc>
          <w:tcPr>
            <w:tcW w:type="dxa" w:w="3312"/>
          </w:tcPr>
          <w:p>
            <w:r>
              <w:t>Selection or response bias</w:t>
            </w:r>
          </w:p>
        </w:tc>
        <w:tc>
          <w:tcPr>
            <w:tcW w:type="dxa" w:w="3312"/>
          </w:tcPr>
          <w:p>
            <w:r>
              <w:t>Some users' experiences are underrepresented</w:t>
            </w:r>
          </w:p>
        </w:tc>
        <w:tc>
          <w:tcPr>
            <w:tcW w:type="dxa" w:w="3312"/>
          </w:tcPr>
          <w:p>
            <w:r>
              <w:t>Report response rates and coverage; use alternative feedback channels</w:t>
            </w:r>
          </w:p>
        </w:tc>
      </w:tr>
      <w:tr>
        <w:tc>
          <w:tcPr>
            <w:tcW w:type="dxa" w:w="3312"/>
          </w:tcPr>
          <w:p>
            <w:r>
              <w:t>Misinterpretation of correlation</w:t>
            </w:r>
          </w:p>
        </w:tc>
        <w:tc>
          <w:tcPr>
            <w:tcW w:type="dxa" w:w="3312"/>
          </w:tcPr>
          <w:p>
            <w:r>
              <w:t>Ineffective or harmful policy decisions</w:t>
            </w:r>
          </w:p>
        </w:tc>
        <w:tc>
          <w:tcPr>
            <w:tcW w:type="dxa" w:w="3312"/>
          </w:tcPr>
          <w:p>
            <w:r>
              <w:t>Separate description from causation; validate with context; pilot changes</w:t>
            </w:r>
          </w:p>
        </w:tc>
      </w:tr>
      <w:tr>
        <w:tc>
          <w:tcPr>
            <w:tcW w:type="dxa" w:w="3312"/>
          </w:tcPr>
          <w:p>
            <w:r>
              <w:t>Scope expansion or delays</w:t>
            </w:r>
          </w:p>
        </w:tc>
        <w:tc>
          <w:tcPr>
            <w:tcW w:type="dxa" w:w="3312"/>
          </w:tcPr>
          <w:p>
            <w:r>
              <w:t>Incomplete submission</w:t>
            </w:r>
          </w:p>
        </w:tc>
        <w:tc>
          <w:tcPr>
            <w:tcW w:type="dxa" w:w="3312"/>
          </w:tcPr>
          <w:p>
            <w:r>
              <w:t>Freeze scope, assign owners, use milestones, and reserve review time</w:t>
            </w:r>
          </w:p>
        </w:tc>
      </w:tr>
      <w:tr>
        <w:tc>
          <w:tcPr>
            <w:tcW w:type="dxa" w:w="3312"/>
          </w:tcPr>
          <w:p>
            <w:r>
              <w:t>Dashboard accessibility issues</w:t>
            </w:r>
          </w:p>
        </w:tc>
        <w:tc>
          <w:tcPr>
            <w:tcW w:type="dxa" w:w="3312"/>
          </w:tcPr>
          <w:p>
            <w:r>
              <w:t>Some decision-makers or citizens cannot use outputs</w:t>
            </w:r>
          </w:p>
        </w:tc>
        <w:tc>
          <w:tcPr>
            <w:tcW w:type="dxa" w:w="3312"/>
          </w:tcPr>
          <w:p>
            <w:r>
              <w:t>Check contrast, labels, keyboard accessibility, and mobile readability</w:t>
            </w:r>
          </w:p>
        </w:tc>
      </w:tr>
    </w:tbl>
    <w:p>
      <w:pPr>
        <w:pStyle w:val="Heading1"/>
      </w:pPr>
      <w:r>
        <w:t>12. Evaluation Criteria</w:t>
      </w:r>
    </w:p>
    <w:p>
      <w:pPr>
        <w:pStyle w:val="ListBullet"/>
      </w:pPr>
      <w:r>
        <w:t>Depth and relevance of research, with sources that are credible and clearly dated.</w:t>
      </w:r>
    </w:p>
    <w:p>
      <w:pPr>
        <w:pStyle w:val="ListBullet"/>
      </w:pPr>
      <w:r>
        <w:t>Clarity and feasibility of the objectives and strategic plan.</w:t>
      </w:r>
    </w:p>
    <w:p>
      <w:pPr>
        <w:pStyle w:val="ListBullet"/>
      </w:pPr>
      <w:r>
        <w:t>Logical structure of the analytical framework from question to data to method to action.</w:t>
      </w:r>
    </w:p>
    <w:p>
      <w:pPr>
        <w:pStyle w:val="ListBullet"/>
      </w:pPr>
      <w:r>
        <w:t>Correct, reproducible KPI definitions and suitable statistical methods.</w:t>
      </w:r>
    </w:p>
    <w:p>
      <w:pPr>
        <w:pStyle w:val="ListBullet"/>
      </w:pPr>
      <w:r>
        <w:t>Practicality of the 30–35 hour timeline and completeness of the risk assessment.</w:t>
      </w:r>
    </w:p>
    <w:p>
      <w:pPr>
        <w:pStyle w:val="ListBullet"/>
      </w:pPr>
      <w:r>
        <w:t>Attention to privacy, security, accessibility, fairness, and data limitations.</w:t>
      </w:r>
    </w:p>
    <w:p>
      <w:pPr>
        <w:pStyle w:val="ListBullet"/>
      </w:pPr>
      <w:r>
        <w:t>Quality of writing, formatting, charts or mock-ups, and references.</w:t>
      </w:r>
    </w:p>
    <w:p>
      <w:r>
        <w:t>A suggested internal review scorecard is: research and context 15%; objectives and scope 15%; data and methodology 20%; KPI and reporting design 15%; timeline and risks 15%; actionable recommendations 10%; presentation and references 10%. This is a proposed self-check, not an official Yuva Intern grading rubric.</w:t>
      </w:r>
    </w:p>
    <w:p>
      <w:pPr>
        <w:pStyle w:val="Heading1"/>
      </w:pPr>
      <w:r>
        <w:t>13. Expected Outcomes and Recommendations</w:t>
      </w:r>
    </w:p>
    <w:p>
      <w:r>
        <w:t>The planned deliverables are:</w:t>
      </w:r>
    </w:p>
    <w:p>
      <w:pPr>
        <w:pStyle w:val="ListBullet"/>
      </w:pPr>
      <w:r>
        <w:t>A documented problem statement, objectives, and list of analytical questions.</w:t>
      </w:r>
    </w:p>
    <w:p>
      <w:pPr>
        <w:pStyle w:val="ListBullet"/>
      </w:pPr>
      <w:r>
        <w:t>A data-source map, data dictionary template, and data-quality checklist.</w:t>
      </w:r>
    </w:p>
    <w:p>
      <w:pPr>
        <w:pStyle w:val="ListBullet"/>
      </w:pPr>
      <w:r>
        <w:t>A reproducible methodology with tool choices and validation steps.</w:t>
      </w:r>
    </w:p>
    <w:p>
      <w:pPr>
        <w:pStyle w:val="ListBullet"/>
      </w:pPr>
      <w:r>
        <w:t>A KPI catalogue and proposed dashboard layout.</w:t>
      </w:r>
    </w:p>
    <w:p>
      <w:pPr>
        <w:pStyle w:val="ListBullet"/>
      </w:pPr>
      <w:r>
        <w:t>A 33-hour milestone plan and risk register.</w:t>
      </w:r>
    </w:p>
    <w:p>
      <w:pPr>
        <w:pStyle w:val="ListBullet"/>
      </w:pPr>
      <w:r>
        <w:t>A prioritised action plan tied to evidence and measurable outcomes.</w:t>
      </w:r>
    </w:p>
    <w:p>
      <w:r>
        <w:t>The recommended starting point is a small pilot on one service and a limited time period. Establish a baseline, validate definitions with service owners, and choose one or two operational changes to test. Compare performance before and after the change while accounting for seasonality and other plausible explanations. Expand only after the data quality and usefulness of the indicators are demonstrated.</w:t>
      </w:r>
    </w:p>
    <w:p>
      <w:pPr>
        <w:pStyle w:val="Heading1"/>
      </w:pPr>
      <w:r>
        <w:t>14. Conclusion</w:t>
      </w:r>
    </w:p>
    <w:p>
      <w:r>
        <w:t>A well-designed data-analysis framework helps e-governance teams move from anecdotal concerns to measurable service improvement. The strongest approach is not simply to create a dashboard; it is to define meaningful questions, collect only appropriate data, apply transparent methods, validate findings, protect citizens, and connect evidence to accountable action. The proposed 33-hour plan provides a feasible structure for developing that approach. Actual conclusions about service performance should be drawn only after authorised data have been analysed and limitations have been documented.</w:t>
      </w:r>
    </w:p>
    <w:p>
      <w:pPr>
        <w:pStyle w:val="Heading1"/>
      </w:pPr>
      <w:r>
        <w:t>15. References and Further Reading</w:t>
      </w:r>
    </w:p>
    <w:p>
      <w:pPr>
        <w:pStyle w:val="ListBullet"/>
      </w:pPr>
      <w:r>
        <w:rPr>
          <w:b/>
        </w:rPr>
        <w:t xml:space="preserve">Digital India Programme, Government of India: </w:t>
      </w:r>
      <w:r>
        <w:t>https://www.digitalindia.gov.in/</w:t>
      </w:r>
    </w:p>
    <w:p>
      <w:pPr>
        <w:pStyle w:val="ListBullet"/>
      </w:pPr>
      <w:r>
        <w:rPr>
          <w:b/>
        </w:rPr>
        <w:t xml:space="preserve">National e-Governance Service Delivery Assessment (NeSDA), Department of Administrative Reforms and Public Grievances: </w:t>
      </w:r>
      <w:r>
        <w:t>https://darpg.gov.in/</w:t>
      </w:r>
    </w:p>
    <w:p>
      <w:pPr>
        <w:pStyle w:val="ListBullet"/>
      </w:pPr>
      <w:r>
        <w:rPr>
          <w:b/>
        </w:rPr>
        <w:t xml:space="preserve">World Bank – GovTech: </w:t>
      </w:r>
      <w:r>
        <w:t>https://www.worldbank.org/en/programs/govtech</w:t>
      </w:r>
    </w:p>
    <w:p>
      <w:pPr>
        <w:pStyle w:val="ListBullet"/>
      </w:pPr>
      <w:r>
        <w:rPr>
          <w:b/>
        </w:rPr>
        <w:t xml:space="preserve">OECD – Digital Government: </w:t>
      </w:r>
      <w:r>
        <w:t>https://www.oecd.org/gov/digital-government/</w:t>
      </w:r>
    </w:p>
    <w:p>
      <w:pPr>
        <w:pStyle w:val="ListBullet"/>
      </w:pPr>
      <w:r>
        <w:rPr>
          <w:b/>
        </w:rPr>
        <w:t xml:space="preserve">NIST Privacy Framework: </w:t>
      </w:r>
      <w:r>
        <w:t>https://www.nist.gov/privacy-framework</w:t>
      </w:r>
    </w:p>
    <w:p>
      <w:r>
        <w:t>Reference note: verify the current publication, page title, and access date for each source before final submission. This report is a planning framework and does not claim that these sources were used to produce measured findings.</w:t>
      </w:r>
    </w:p>
    <w:p>
      <w:pPr>
        <w:pStyle w:val="Heading1"/>
      </w:pPr>
      <w:r>
        <w:t>Appendix A: Data-Quality Checklist</w:t>
      </w:r>
    </w:p>
    <w:p>
      <w:pPr>
        <w:pStyle w:val="ListBullet"/>
      </w:pPr>
      <w:r>
        <w:t>Confirm row count, time period, source, and data owner.</w:t>
      </w:r>
    </w:p>
    <w:p>
      <w:pPr>
        <w:pStyle w:val="ListBullet"/>
      </w:pPr>
      <w:r>
        <w:t>Check duplicate records and define the rule for handling them.</w:t>
      </w:r>
    </w:p>
    <w:p>
      <w:pPr>
        <w:pStyle w:val="ListBullet"/>
      </w:pPr>
      <w:r>
        <w:t>Measure missing values in key fields and document treatment.</w:t>
      </w:r>
    </w:p>
    <w:p>
      <w:pPr>
        <w:pStyle w:val="ListBullet"/>
      </w:pPr>
      <w:r>
        <w:t>Validate date order, allowed categories, numeric ranges, and status transitions.</w:t>
      </w:r>
    </w:p>
    <w:p>
      <w:pPr>
        <w:pStyle w:val="ListBullet"/>
      </w:pPr>
      <w:r>
        <w:t>Check whether records represent unique requests or repeated events.</w:t>
      </w:r>
    </w:p>
    <w:p>
      <w:pPr>
        <w:pStyle w:val="ListBullet"/>
      </w:pPr>
      <w:r>
        <w:t>Reconcile totals with an authorised source where possible.</w:t>
      </w:r>
    </w:p>
    <w:p>
      <w:pPr>
        <w:pStyle w:val="ListBullet"/>
      </w:pPr>
      <w:r>
        <w:t>Record all cleaning steps and keep an untouched original copy.</w:t>
      </w:r>
    </w:p>
    <w:p>
      <w:pPr>
        <w:pStyle w:val="ListBullet"/>
      </w:pPr>
      <w:r>
        <w:t>Remove or mask personal identifiers before analysis and sharing.</w:t>
      </w:r>
    </w:p>
    <w:p>
      <w:pPr>
        <w:pStyle w:val="Heading1"/>
      </w:pPr>
      <w:r>
        <w:t>Appendix B: Report Submission Checklist</w:t>
      </w:r>
    </w:p>
    <w:p>
      <w:pPr>
        <w:pStyle w:val="ListBullet"/>
      </w:pPr>
      <w:r>
        <w:t>Replace [Your Full Name] and [Submission Date] on the cover page.</w:t>
      </w:r>
    </w:p>
    <w:p>
      <w:pPr>
        <w:pStyle w:val="ListBullet"/>
      </w:pPr>
      <w:r>
        <w:t>Read the report and adjust it to reflect your own research and understanding.</w:t>
      </w:r>
    </w:p>
    <w:p>
      <w:pPr>
        <w:pStyle w:val="ListBullet"/>
      </w:pPr>
      <w:r>
        <w:t>Confirm all URLs open and add access dates if required.</w:t>
      </w:r>
    </w:p>
    <w:p>
      <w:pPr>
        <w:pStyle w:val="ListBullet"/>
      </w:pPr>
      <w:r>
        <w:t>If using a real dataset, include its source, period, cleaning notes, and genuine results; do not invent findings.</w:t>
      </w:r>
    </w:p>
    <w:p>
      <w:pPr>
        <w:pStyle w:val="ListBullet"/>
      </w:pPr>
      <w:r>
        <w:t>Save the final file as .docx.</w:t>
      </w:r>
    </w:p>
    <w:p>
      <w:pPr>
        <w:pStyle w:val="ListBullet"/>
      </w:pPr>
      <w:r>
        <w:t>Enter a 200+ word report description in the Yuva Intern submission form.</w:t>
      </w:r>
    </w:p>
    <w:p>
      <w:pPr>
        <w:pStyle w:val="ListBullet"/>
      </w:pPr>
      <w:r>
        <w:t>If the task is classified as technical/software-related, provide the real GitHub repository URL; the page says it is compulsory for certificate issuance.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Yuva Intern | Week 1 Task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E65B0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374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E65B0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