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sz w:val="24"/>
          <w:szCs w:val="24"/>
        </w:rPr>
        <w:t xml:space="preserve">TRUNG TÂM HỖ TRỢ KHÁCH HÀNG VNPT</w:t>
      </w:r>
    </w:p>
    <w:p>
      <w:pPr>
        <w:spacing w:after="300"/>
        <w:jc w:val="center"/>
      </w:pPr>
      <w:r>
        <w:rPr>
          <w:rFonts w:ascii="Times New Roman" w:cs="Times New Roman" w:eastAsia="Times New Roman" w:hAnsi="Times New Roman"/>
          <w:b/>
          <w:bCs/>
          <w:sz w:val="24"/>
          <w:szCs w:val="24"/>
        </w:rPr>
        <w:t xml:space="preserve">PHÒNG NGHIỆP VỤ ĐÀO TẠO (P.NVĐT)</w:t>
      </w:r>
    </w:p>
    <w:p>
      <w:pPr>
        <w:spacing w:after="100"/>
        <w:jc w:val="center"/>
      </w:pPr>
      <w:r>
        <w:rPr>
          <w:rFonts w:ascii="Times New Roman" w:cs="Times New Roman" w:eastAsia="Times New Roman" w:hAnsi="Times New Roman"/>
          <w:b/>
          <w:bCs/>
          <w:sz w:val="30"/>
          <w:szCs w:val="30"/>
        </w:rPr>
        <w:t xml:space="preserve">ĐẶC TẢ NGHIỆP VỤ</w:t>
      </w:r>
    </w:p>
    <w:p>
      <w:pPr>
        <w:spacing w:after="100"/>
        <w:jc w:val="center"/>
      </w:pPr>
      <w:r>
        <w:rPr>
          <w:rFonts w:ascii="Times New Roman" w:cs="Times New Roman" w:eastAsia="Times New Roman" w:hAnsi="Times New Roman"/>
          <w:b/>
          <w:bCs/>
          <w:sz w:val="30"/>
          <w:szCs w:val="30"/>
        </w:rPr>
        <w:t xml:space="preserve">KHẢO SÁT CHẤT LƯỢNG GIẢNG VIÊN SAU ĐÀO TẠO</w:t>
      </w:r>
    </w:p>
    <w:p>
      <w:pPr>
        <w:spacing w:after="100"/>
        <w:jc w:val="center"/>
      </w:pPr>
      <w:r>
        <w:rPr>
          <w:rFonts w:ascii="Times New Roman" w:cs="Times New Roman" w:eastAsia="Times New Roman" w:hAnsi="Times New Roman"/>
          <w:i/>
          <w:iCs/>
          <w:sz w:val="20"/>
          <w:szCs w:val="20"/>
        </w:rPr>
        <w:t xml:space="preserve">(Thuộc hoạt động: Xây dựng chức năng số hóa khảo sát chất lượng giảng viên trên hệ thống Web Quản lý đào tạo — Kế hoạch VNPT Rising 2026, hạn 30/09/2026)</w:t>
      </w:r>
    </w:p>
    <w:p>
      <w:pPr>
        <w:spacing w:after="120" w:line="300"/>
        <w:jc w:val="both"/>
      </w:pPr>
      <w:r>
        <w:rPr>
          <w:rFonts w:ascii="Times New Roman" w:cs="Times New Roman" w:eastAsia="Times New Roman" w:hAnsi="Times New Roman"/>
          <w:sz w:val="24"/>
          <w:szCs w:val="24"/>
        </w:rPr>
        <w:t xml:space="preserve">Người soạn: Vưu Hồng Châu — phối hợp: Nguyễn Thị Hồng Phúc, Ngô Lý Thùy Nhi (P.NVĐT); đơn vị phối hợp: P.TH, P.CN.</w:t>
      </w:r>
    </w:p>
    <w:p>
      <w:pPr>
        <w:spacing w:after="150" w:before="300"/>
      </w:pPr>
      <w:r>
        <w:rPr>
          <w:rFonts w:ascii="Times New Roman" w:cs="Times New Roman" w:eastAsia="Times New Roman" w:hAnsi="Times New Roman"/>
          <w:b/>
          <w:bCs/>
          <w:sz w:val="26"/>
          <w:szCs w:val="26"/>
        </w:rPr>
        <w:t xml:space="preserve">1. Hiện trạng và bất cập</w:t>
      </w:r>
    </w:p>
    <w:p>
      <w:pPr>
        <w:spacing w:after="80" w:before="150"/>
      </w:pPr>
      <w:r>
        <w:rPr>
          <w:rFonts w:ascii="Times New Roman" w:cs="Times New Roman" w:eastAsia="Times New Roman" w:hAnsi="Times New Roman"/>
          <w:b/>
          <w:bCs/>
          <w:i/>
          <w:iCs/>
          <w:sz w:val="24"/>
          <w:szCs w:val="24"/>
        </w:rPr>
        <w:t xml:space="preserve">1.1. Quy trình hiện tại</w:t>
      </w:r>
    </w:p>
    <w:p>
      <w:pPr>
        <w:pStyle w:val="ListParagraph"/>
        <w:numPr>
          <w:ilvl w:val="0"/>
          <w:numId w:val="2"/>
        </w:numPr>
        <w:spacing w:after="80" w:line="300"/>
      </w:pPr>
      <w:r>
        <w:rPr>
          <w:rFonts w:ascii="Times New Roman" w:cs="Times New Roman" w:eastAsia="Times New Roman" w:hAnsi="Times New Roman"/>
          <w:sz w:val="24"/>
          <w:szCs w:val="24"/>
        </w:rPr>
        <w:t xml:space="preserve">Chuyên viên Quản trị đào tạo (QTĐT) tạo link Google Form khảo sát sau mỗi khóa/buổi dạy.</w:t>
      </w:r>
    </w:p>
    <w:p>
      <w:pPr>
        <w:pStyle w:val="ListParagraph"/>
        <w:numPr>
          <w:ilvl w:val="0"/>
          <w:numId w:val="2"/>
        </w:numPr>
        <w:spacing w:after="80" w:line="300"/>
      </w:pPr>
      <w:r>
        <w:rPr>
          <w:rFonts w:ascii="Times New Roman" w:cs="Times New Roman" w:eastAsia="Times New Roman" w:hAnsi="Times New Roman"/>
          <w:sz w:val="24"/>
          <w:szCs w:val="24"/>
        </w:rPr>
        <w:t xml:space="preserve">Giảng viên (GV) gửi link khảo sát cho học viên sau khi dạy xong.</w:t>
      </w:r>
    </w:p>
    <w:p>
      <w:pPr>
        <w:pStyle w:val="ListParagraph"/>
        <w:numPr>
          <w:ilvl w:val="0"/>
          <w:numId w:val="2"/>
        </w:numPr>
        <w:spacing w:after="80" w:line="300"/>
      </w:pPr>
      <w:r>
        <w:rPr>
          <w:rFonts w:ascii="Times New Roman" w:cs="Times New Roman" w:eastAsia="Times New Roman" w:hAnsi="Times New Roman"/>
          <w:sz w:val="24"/>
          <w:szCs w:val="24"/>
        </w:rPr>
        <w:t xml:space="preserve">QTĐT tổng hợp kết quả thủ công trên Google Sheet (nhiều tab theo tháng/khóa), tính công thức thủ công.</w:t>
      </w:r>
    </w:p>
    <w:p>
      <w:pPr>
        <w:spacing w:after="80" w:before="150"/>
      </w:pPr>
      <w:r>
        <w:rPr>
          <w:rFonts w:ascii="Times New Roman" w:cs="Times New Roman" w:eastAsia="Times New Roman" w:hAnsi="Times New Roman"/>
          <w:b/>
          <w:bCs/>
          <w:i/>
          <w:iCs/>
          <w:sz w:val="24"/>
          <w:szCs w:val="24"/>
        </w:rPr>
        <w:t xml:space="preserve">1.2. Bất cập</w:t>
      </w:r>
    </w:p>
    <w:p>
      <w:pPr>
        <w:pStyle w:val="ListParagraph"/>
        <w:numPr>
          <w:ilvl w:val="0"/>
          <w:numId w:val="2"/>
        </w:numPr>
        <w:spacing w:after="80" w:line="300"/>
      </w:pPr>
      <w:r>
        <w:rPr>
          <w:rFonts w:ascii="Times New Roman" w:cs="Times New Roman" w:eastAsia="Times New Roman" w:hAnsi="Times New Roman"/>
          <w:sz w:val="24"/>
          <w:szCs w:val="24"/>
        </w:rPr>
        <w:t xml:space="preserve">Chưa đối chiếu số phiếu thu về với danh sách học viên thực tế của khóa — không xác nhận được tỷ lệ hoàn thành khảo sát (mục tiêu 100%).</w:t>
      </w:r>
    </w:p>
    <w:p>
      <w:pPr>
        <w:pStyle w:val="ListParagraph"/>
        <w:numPr>
          <w:ilvl w:val="0"/>
          <w:numId w:val="2"/>
        </w:numPr>
        <w:spacing w:after="80" w:line="300"/>
      </w:pPr>
      <w:r>
        <w:rPr>
          <w:rFonts w:ascii="Times New Roman" w:cs="Times New Roman" w:eastAsia="Times New Roman" w:hAnsi="Times New Roman"/>
          <w:sz w:val="24"/>
          <w:szCs w:val="24"/>
        </w:rPr>
        <w:t xml:space="preserve">Với lớp ĐTV mới (kéo dài 1–3 tuần, nhiều GV dạy các buổi khác nhau): khảo sát gửi sau khi GV dạy xong phần của mình, có khi cách buổi đầu 2–3 tuần — học viên không còn nhớ chi tiết để đánh giá chính xác.</w:t>
      </w:r>
    </w:p>
    <w:p>
      <w:pPr>
        <w:pStyle w:val="ListParagraph"/>
        <w:numPr>
          <w:ilvl w:val="0"/>
          <w:numId w:val="2"/>
        </w:numPr>
        <w:spacing w:after="80" w:line="300"/>
      </w:pPr>
      <w:r>
        <w:rPr>
          <w:rFonts w:ascii="Times New Roman" w:cs="Times New Roman" w:eastAsia="Times New Roman" w:hAnsi="Times New Roman"/>
          <w:sz w:val="24"/>
          <w:szCs w:val="24"/>
        </w:rPr>
        <w:t xml:space="preserve">Tính KPI GV và KPI QTĐT hoàn toàn thủ công trên Google Sheet, mất thời gian; đổi mẫu phiếu từ tháng 6/2026 gây gián đoạn, phải copy dữ liệu thủ công giữa các phiên bản mẫu.</w:t>
      </w:r>
    </w:p>
    <w:p>
      <w:pPr>
        <w:pStyle w:val="ListParagraph"/>
        <w:numPr>
          <w:ilvl w:val="0"/>
          <w:numId w:val="2"/>
        </w:numPr>
        <w:spacing w:after="80" w:line="300"/>
      </w:pPr>
      <w:r>
        <w:rPr>
          <w:rFonts w:ascii="Times New Roman" w:cs="Times New Roman" w:eastAsia="Times New Roman" w:hAnsi="Times New Roman"/>
          <w:sz w:val="24"/>
          <w:szCs w:val="24"/>
        </w:rPr>
        <w:t xml:space="preserve">Mẫu Google Form hiện tại dùng trường "Họ tên" và "Khoá học" dạng nhập tay tự do — không đối chiếu tự động được với danh sách lớp trên hệ thống; trường "Giảng viên đứng lớp" chỉ chọn được 1 người/phiếu, không phù hợp lớp nhiều GV.</w:t>
      </w:r>
    </w:p>
    <w:p>
      <w:pPr>
        <w:spacing w:after="150" w:before="300"/>
      </w:pPr>
      <w:r>
        <w:rPr>
          <w:rFonts w:ascii="Times New Roman" w:cs="Times New Roman" w:eastAsia="Times New Roman" w:hAnsi="Times New Roman"/>
          <w:b/>
          <w:bCs/>
          <w:sz w:val="26"/>
          <w:szCs w:val="26"/>
        </w:rPr>
        <w:t xml:space="preserve">2. Mục tiêu đặc tả</w:t>
      </w:r>
    </w:p>
    <w:p>
      <w:pPr>
        <w:spacing w:after="120" w:line="300"/>
        <w:jc w:val="both"/>
      </w:pPr>
      <w:r>
        <w:rPr>
          <w:rFonts w:ascii="Times New Roman" w:cs="Times New Roman" w:eastAsia="Times New Roman" w:hAnsi="Times New Roman"/>
          <w:sz w:val="24"/>
          <w:szCs w:val="24"/>
        </w:rPr>
        <w:t xml:space="preserve">Chuẩn hóa bộ câu hỏi khảo sát và thang điểm; xác định đúng đối tượng và thời điểm gửi khảo sát theo từng loại lớp; xác lập cơ chế ẩn danh; và chốt mẫu báo cáo tổng hợp theo khóa/giảng viên/QTĐT — làm cơ sở để P.CN xây dựng chức năng trên hệ thống Web Quản lý đào tạo (mốc 30/11/2026 theo kế hoạch).</w:t>
      </w:r>
    </w:p>
    <w:p>
      <w:pPr>
        <w:spacing w:after="150" w:before="300"/>
      </w:pPr>
      <w:r>
        <w:rPr>
          <w:rFonts w:ascii="Times New Roman" w:cs="Times New Roman" w:eastAsia="Times New Roman" w:hAnsi="Times New Roman"/>
          <w:b/>
          <w:bCs/>
          <w:sz w:val="26"/>
          <w:szCs w:val="26"/>
        </w:rPr>
        <w:t xml:space="preserve">3. Bộ câu hỏi khảo sát và thang điểm (giữ nguyên nội dung, chuẩn hoá cách thu thập)</w:t>
      </w:r>
    </w:p>
    <w:p>
      <w:pPr>
        <w:spacing w:after="120" w:line="300"/>
        <w:jc w:val="both"/>
      </w:pPr>
      <w:r>
        <w:rPr>
          <w:rFonts w:ascii="Times New Roman" w:cs="Times New Roman" w:eastAsia="Times New Roman" w:hAnsi="Times New Roman"/>
          <w:sz w:val="24"/>
          <w:szCs w:val="24"/>
        </w:rPr>
        <w:t xml:space="preserve">Giữ nguyên 10 tiêu chí và thang điểm 1–10 của mẫu hiện hành (chuyên nghiệp/nhiệt tình, cách giảng dạy, chuyên sâu kiến thức, nội dung rõ ràng, tài liệu đào tạo, hướng dẫn xử lý tình huống, giải đáp thắc mắc, điều phối thời lượng, khuyến khích trao đổi, công cụ hỗ trợ học tập). Đề xuất thay đổi cách thu thập các trường định danh:</w:t>
      </w:r>
    </w:p>
    <w:p>
      <w:pPr>
        <w:pStyle w:val="ListParagraph"/>
        <w:numPr>
          <w:ilvl w:val="0"/>
          <w:numId w:val="2"/>
        </w:numPr>
        <w:spacing w:after="80" w:line="300"/>
      </w:pPr>
      <w:r>
        <w:rPr>
          <w:rFonts w:ascii="Times New Roman" w:cs="Times New Roman" w:eastAsia="Times New Roman" w:hAnsi="Times New Roman"/>
          <w:sz w:val="24"/>
          <w:szCs w:val="24"/>
        </w:rPr>
        <w:t xml:space="preserve">Trường "Họ tên" → thay bằng chọn học viên từ danh sách khóa (danh sách do các Đài gửi lên web quản lý đào tạo trước khi khai giảng), gắn kèm email để hệ thống tự gửi link và tự đối chiếu.</w:t>
      </w:r>
    </w:p>
    <w:p>
      <w:pPr>
        <w:pStyle w:val="ListParagraph"/>
        <w:numPr>
          <w:ilvl w:val="0"/>
          <w:numId w:val="2"/>
        </w:numPr>
        <w:spacing w:after="80" w:line="300"/>
      </w:pPr>
      <w:r>
        <w:rPr>
          <w:rFonts w:ascii="Times New Roman" w:cs="Times New Roman" w:eastAsia="Times New Roman" w:hAnsi="Times New Roman"/>
          <w:sz w:val="24"/>
          <w:szCs w:val="24"/>
        </w:rPr>
        <w:t xml:space="preserve">Trường "Khoá học" → chọn từ danh mục khóa có sẵn (Mã khóa) thay vì nhập tay.</w:t>
      </w:r>
    </w:p>
    <w:p>
      <w:pPr>
        <w:pStyle w:val="ListParagraph"/>
        <w:numPr>
          <w:ilvl w:val="0"/>
          <w:numId w:val="2"/>
        </w:numPr>
        <w:spacing w:after="80" w:line="300"/>
      </w:pPr>
      <w:r>
        <w:rPr>
          <w:rFonts w:ascii="Times New Roman" w:cs="Times New Roman" w:eastAsia="Times New Roman" w:hAnsi="Times New Roman"/>
          <w:sz w:val="24"/>
          <w:szCs w:val="24"/>
        </w:rPr>
        <w:t xml:space="preserve">Trường "Giảng viên đứng lớp" → mỗi khảo sát chỉ gắn với 1 GV và 1 buổi cụ thể (xem mục 4.2); nếu khóa có nhiều GV, hệ thống tự tạo nhiều khảo sát riêng theo từng buổi, không hỏi gộp trong 1 phiếu.</w:t>
      </w:r>
    </w:p>
    <w:p>
      <w:pPr>
        <w:pStyle w:val="ListParagraph"/>
        <w:numPr>
          <w:ilvl w:val="0"/>
          <w:numId w:val="2"/>
        </w:numPr>
        <w:spacing w:after="80" w:line="300"/>
      </w:pPr>
      <w:r>
        <w:rPr>
          <w:rFonts w:ascii="Times New Roman" w:cs="Times New Roman" w:eastAsia="Times New Roman" w:hAnsi="Times New Roman"/>
          <w:sz w:val="24"/>
          <w:szCs w:val="24"/>
        </w:rPr>
        <w:t xml:space="preserve">Bổ sung trường ẩn (không hiển thị cho người khảo sát) để hệ thống ghi nhận: Mã khóa, Mã buổi, GV được đánh giá, Ngày dạy, Phiên bản mẫu khảo sát — phục vụ đối chiếu và tính KPI tự động.</w:t>
      </w:r>
    </w:p>
    <w:p>
      <w:pPr>
        <w:spacing w:after="150" w:before="300"/>
      </w:pPr>
      <w:r>
        <w:rPr>
          <w:rFonts w:ascii="Times New Roman" w:cs="Times New Roman" w:eastAsia="Times New Roman" w:hAnsi="Times New Roman"/>
          <w:b/>
          <w:bCs/>
          <w:sz w:val="26"/>
          <w:szCs w:val="26"/>
        </w:rPr>
        <w:t xml:space="preserve">4. Đối tượng và thời điểm gửi khảo sát</w:t>
      </w:r>
    </w:p>
    <w:p>
      <w:pPr>
        <w:spacing w:after="80" w:before="150"/>
      </w:pPr>
      <w:r>
        <w:rPr>
          <w:rFonts w:ascii="Times New Roman" w:cs="Times New Roman" w:eastAsia="Times New Roman" w:hAnsi="Times New Roman"/>
          <w:b/>
          <w:bCs/>
          <w:i/>
          <w:iCs/>
          <w:sz w:val="24"/>
          <w:szCs w:val="24"/>
        </w:rPr>
        <w:t xml:space="preserve">4.1. Lớp chuyên đề (1 buổi, 1 giảng viên — quickwin/theo phát sinh)</w:t>
      </w:r>
    </w:p>
    <w:p>
      <w:pPr>
        <w:pStyle w:val="ListParagraph"/>
        <w:numPr>
          <w:ilvl w:val="0"/>
          <w:numId w:val="2"/>
        </w:numPr>
        <w:spacing w:after="80" w:line="300"/>
      </w:pPr>
      <w:r>
        <w:rPr>
          <w:rFonts w:ascii="Times New Roman" w:cs="Times New Roman" w:eastAsia="Times New Roman" w:hAnsi="Times New Roman"/>
          <w:sz w:val="24"/>
          <w:szCs w:val="24"/>
        </w:rPr>
        <w:t xml:space="preserve">Giữ nguyên: gửi khảo sát ngay sau khi kết thúc buổi học.</w:t>
      </w:r>
    </w:p>
    <w:p>
      <w:pPr>
        <w:pStyle w:val="ListParagraph"/>
        <w:numPr>
          <w:ilvl w:val="0"/>
          <w:numId w:val="2"/>
        </w:numPr>
        <w:spacing w:after="80" w:line="300"/>
      </w:pPr>
      <w:r>
        <w:rPr>
          <w:rFonts w:ascii="Times New Roman" w:cs="Times New Roman" w:eastAsia="Times New Roman" w:hAnsi="Times New Roman"/>
          <w:sz w:val="24"/>
          <w:szCs w:val="24"/>
        </w:rPr>
        <w:t xml:space="preserve">Thay đổi: gửi tự động qua email tới toàn bộ học viên trong danh sách khóa (không do GV gửi thủ công), hệ thống tự đối chiếu số phiếu thu về/tổng số học viên.</w:t>
      </w:r>
    </w:p>
    <w:p>
      <w:pPr>
        <w:spacing w:after="80" w:before="150"/>
      </w:pPr>
      <w:r>
        <w:rPr>
          <w:rFonts w:ascii="Times New Roman" w:cs="Times New Roman" w:eastAsia="Times New Roman" w:hAnsi="Times New Roman"/>
          <w:b/>
          <w:bCs/>
          <w:i/>
          <w:iCs/>
          <w:sz w:val="24"/>
          <w:szCs w:val="24"/>
        </w:rPr>
        <w:t xml:space="preserve">4.2. Lớp đào tạo ĐTV mới (nhiều tuần, nhiều giảng viên phụ trách từng buổi)</w:t>
      </w:r>
    </w:p>
    <w:p>
      <w:pPr>
        <w:spacing w:after="120" w:line="300"/>
        <w:jc w:val="both"/>
      </w:pPr>
      <w:r>
        <w:rPr>
          <w:rFonts w:ascii="Times New Roman" w:cs="Times New Roman" w:eastAsia="Times New Roman" w:hAnsi="Times New Roman"/>
          <w:sz w:val="24"/>
          <w:szCs w:val="24"/>
        </w:rPr>
        <w:t xml:space="preserve">Đề xuất thay đổi thời điểm gửi: KHÔNG gửi khảo sát 1 lần duy nhất vào cuối khóa cho tất cả GV, mà gửi khảo sát riêng cho từng buổi, ngay sau khi GV phụ trách buổi đó dạy xong (trong ngày). Điều kiện để thực hiện: web quản lý đào tạo cần có lịch phân công GV theo từng buổi/ngày trong khóa (do QTĐT/GV cập nhật khi lập kế hoạch khóa học), để hệ thống tự động xác định thời điểm trigger gửi cho đúng buổi/đúng GV.</w:t>
      </w:r>
    </w:p>
    <w:p>
      <w:pPr>
        <w:spacing w:after="80" w:before="150"/>
      </w:pPr>
      <w:r>
        <w:rPr>
          <w:rFonts w:ascii="Times New Roman" w:cs="Times New Roman" w:eastAsia="Times New Roman" w:hAnsi="Times New Roman"/>
          <w:b/>
          <w:bCs/>
          <w:i/>
          <w:iCs/>
          <w:sz w:val="24"/>
          <w:szCs w:val="24"/>
        </w:rPr>
        <w:t xml:space="preserve">4.3. Đối chiếu tỷ lệ hoàn thành 100%</w:t>
      </w:r>
    </w:p>
    <w:p>
      <w:pPr>
        <w:pStyle w:val="ListParagraph"/>
        <w:numPr>
          <w:ilvl w:val="0"/>
          <w:numId w:val="2"/>
        </w:numPr>
        <w:spacing w:after="80" w:line="300"/>
      </w:pPr>
      <w:r>
        <w:rPr>
          <w:rFonts w:ascii="Times New Roman" w:cs="Times New Roman" w:eastAsia="Times New Roman" w:hAnsi="Times New Roman"/>
          <w:sz w:val="24"/>
          <w:szCs w:val="24"/>
        </w:rPr>
        <w:t xml:space="preserve">Hệ thống đối chiếu tự động: số học viên đã hoàn thành khảo sát / tổng số học viên trong danh sách khóa (theo từng buổi/GV).</w:t>
      </w:r>
    </w:p>
    <w:p>
      <w:pPr>
        <w:pStyle w:val="ListParagraph"/>
        <w:numPr>
          <w:ilvl w:val="0"/>
          <w:numId w:val="2"/>
        </w:numPr>
        <w:spacing w:after="80" w:line="300"/>
      </w:pPr>
      <w:r>
        <w:rPr>
          <w:rFonts w:ascii="Times New Roman" w:cs="Times New Roman" w:eastAsia="Times New Roman" w:hAnsi="Times New Roman"/>
          <w:sz w:val="24"/>
          <w:szCs w:val="24"/>
        </w:rPr>
        <w:t xml:space="preserve">Cảnh báo và cho phép gửi nhắc lại nếu chưa đạt 100% sau một khoảng thời gian quy định (đề xuất P.NVĐT chốt số ngày cụ thể, ví dụ 3–5 ngày sau buổi học).</w:t>
      </w:r>
    </w:p>
    <w:p>
      <w:pPr>
        <w:spacing w:after="150" w:before="300"/>
      </w:pPr>
      <w:r>
        <w:rPr>
          <w:rFonts w:ascii="Times New Roman" w:cs="Times New Roman" w:eastAsia="Times New Roman" w:hAnsi="Times New Roman"/>
          <w:b/>
          <w:bCs/>
          <w:sz w:val="26"/>
          <w:szCs w:val="26"/>
        </w:rPr>
        <w:t xml:space="preserve">5. Cơ chế ẩn danh</w:t>
      </w:r>
    </w:p>
    <w:p>
      <w:pPr>
        <w:pStyle w:val="ListParagraph"/>
        <w:numPr>
          <w:ilvl w:val="0"/>
          <w:numId w:val="2"/>
        </w:numPr>
        <w:spacing w:after="80" w:line="300"/>
      </w:pPr>
      <w:r>
        <w:rPr>
          <w:rFonts w:ascii="Times New Roman" w:cs="Times New Roman" w:eastAsia="Times New Roman" w:hAnsi="Times New Roman"/>
          <w:sz w:val="24"/>
          <w:szCs w:val="24"/>
        </w:rPr>
        <w:t xml:space="preserve">Giảng viên và QTĐT phụ trách chỉ xem được kết quả tổng hợp theo điểm số, KHÔNG hiển thị họ tên học viên gắn với từng phiếu đánh giá.</w:t>
      </w:r>
    </w:p>
    <w:p>
      <w:pPr>
        <w:pStyle w:val="ListParagraph"/>
        <w:numPr>
          <w:ilvl w:val="0"/>
          <w:numId w:val="2"/>
        </w:numPr>
        <w:spacing w:after="80" w:line="300"/>
      </w:pPr>
      <w:r>
        <w:rPr>
          <w:rFonts w:ascii="Times New Roman" w:cs="Times New Roman" w:eastAsia="Times New Roman" w:hAnsi="Times New Roman"/>
          <w:sz w:val="24"/>
          <w:szCs w:val="24"/>
        </w:rPr>
        <w:t xml:space="preserve">Dữ liệu định danh học viên (họ tên/email) chỉ phục vụ mục đích đối chiếu tỷ lệ hoàn thành (mục 4.3), không dùng cho mục đích khác, chỉ Admin hệ thống truy cập được ở mức chi tiết từng phiếu.</w:t>
      </w:r>
    </w:p>
    <w:p>
      <w:pPr>
        <w:spacing w:after="150" w:before="300"/>
      </w:pPr>
      <w:r>
        <w:rPr>
          <w:rFonts w:ascii="Times New Roman" w:cs="Times New Roman" w:eastAsia="Times New Roman" w:hAnsi="Times New Roman"/>
          <w:b/>
          <w:bCs/>
          <w:sz w:val="26"/>
          <w:szCs w:val="26"/>
        </w:rPr>
        <w:t xml:space="preserve">6. Công thức tính KPI (tự động hóa)</w:t>
      </w:r>
    </w:p>
    <w:p>
      <w:pPr>
        <w:spacing w:after="120" w:line="300"/>
        <w:jc w:val="both"/>
      </w:pPr>
      <w:r>
        <w:rPr>
          <w:rFonts w:ascii="Times New Roman" w:cs="Times New Roman" w:eastAsia="Times New Roman" w:hAnsi="Times New Roman"/>
          <w:sz w:val="24"/>
          <w:szCs w:val="24"/>
        </w:rPr>
        <w:t xml:space="preserve">Giả định làm việc: "điểm &gt;8" được tính trên điểm trung bình của 10 tiêu chí trong 1 phiếu khảo sát (không phải tổng điểm). Đề nghị P.NVĐT xác nhận lại giả định này trước khi P.CN lập trình.</w:t>
      </w:r>
    </w:p>
    <w:p>
      <w:pPr>
        <w:spacing w:after="80" w:before="150"/>
      </w:pPr>
      <w:r>
        <w:rPr>
          <w:rFonts w:ascii="Times New Roman" w:cs="Times New Roman" w:eastAsia="Times New Roman" w:hAnsi="Times New Roman"/>
          <w:b/>
          <w:bCs/>
          <w:i/>
          <w:iCs/>
          <w:sz w:val="24"/>
          <w:szCs w:val="24"/>
        </w:rPr>
        <w:t xml:space="preserve">6.1. KPI Giảng viên</w:t>
      </w:r>
    </w:p>
    <w:p>
      <w:pPr>
        <w:spacing w:after="120" w:line="300"/>
        <w:jc w:val="both"/>
      </w:pPr>
      <w:r>
        <w:rPr>
          <w:rFonts w:ascii="Times New Roman" w:cs="Times New Roman" w:eastAsia="Times New Roman" w:hAnsi="Times New Roman"/>
          <w:sz w:val="24"/>
          <w:szCs w:val="24"/>
        </w:rPr>
        <w:t xml:space="preserve">KPI (GV) = (Số phiếu có điểm trung bình &gt; 8) / (Tổng số phiếu khảo sát của GV đó trong kỳ) — đạt KPI khi tỷ lệ ≥ 96%.</w:t>
      </w:r>
    </w:p>
    <w:p>
      <w:pPr>
        <w:spacing w:after="80" w:before="150"/>
      </w:pPr>
      <w:r>
        <w:rPr>
          <w:rFonts w:ascii="Times New Roman" w:cs="Times New Roman" w:eastAsia="Times New Roman" w:hAnsi="Times New Roman"/>
          <w:b/>
          <w:bCs/>
          <w:i/>
          <w:iCs/>
          <w:sz w:val="24"/>
          <w:szCs w:val="24"/>
        </w:rPr>
        <w:t xml:space="preserve">6.2. KPI Quản trị đào tạo (QTĐT)</w:t>
      </w:r>
    </w:p>
    <w:p>
      <w:pPr>
        <w:spacing w:after="120" w:line="300"/>
        <w:jc w:val="both"/>
      </w:pPr>
      <w:r>
        <w:rPr>
          <w:rFonts w:ascii="Times New Roman" w:cs="Times New Roman" w:eastAsia="Times New Roman" w:hAnsi="Times New Roman"/>
          <w:sz w:val="24"/>
          <w:szCs w:val="24"/>
        </w:rPr>
        <w:t xml:space="preserve">KPI (QTĐT) = (Tổng số phiếu điểm &gt;8 của TẤT CẢ giảng viên do QTĐT đó phụ trách) / (Tổng số phiếu khảo sát của các giảng viên đó trong kỳ). Hệ thống cần lưu bảng ánh xạ Giảng viên → QTĐT phụ trách (ví dụ: Phúc phụ trách Huệ, Mỹ Hạnh, Hoàng Hạnh, Lan, Linh; Châu phụ trách Nguyệt, Thụy, Thanh, Mai, Tâm, Thơ) làm dữ liệu hệ thống, không tính thủ công.</w:t>
      </w:r>
    </w:p>
    <w:p>
      <w:pPr>
        <w:spacing w:after="80" w:before="150"/>
      </w:pPr>
      <w:r>
        <w:rPr>
          <w:rFonts w:ascii="Times New Roman" w:cs="Times New Roman" w:eastAsia="Times New Roman" w:hAnsi="Times New Roman"/>
          <w:b/>
          <w:bCs/>
          <w:i/>
          <w:iCs/>
          <w:sz w:val="24"/>
          <w:szCs w:val="24"/>
        </w:rPr>
        <w:t xml:space="preserve">6.3. Xử lý thay đổi mẫu khảo sát</w:t>
      </w:r>
    </w:p>
    <w:p>
      <w:pPr>
        <w:spacing w:after="120" w:line="300"/>
        <w:jc w:val="both"/>
      </w:pPr>
      <w:r>
        <w:rPr>
          <w:rFonts w:ascii="Times New Roman" w:cs="Times New Roman" w:eastAsia="Times New Roman" w:hAnsi="Times New Roman"/>
          <w:sz w:val="24"/>
          <w:szCs w:val="24"/>
        </w:rPr>
        <w:t xml:space="preserve">Mỗi phiếu khảo sát gắn với một "phiên bản mẫu" (áp dụng từ ngày nào). Khi mẫu thay đổi (như đợt tháng 6/2026), hệ thống vẫn tổng hợp được xuyên suốt theo GV/QTĐT/thời gian mà không cần copy dữ liệu thủ công giữa các phiên bản.</w:t>
      </w:r>
    </w:p>
    <w:p>
      <w:pPr>
        <w:spacing w:after="150" w:before="300"/>
      </w:pPr>
      <w:r>
        <w:rPr>
          <w:rFonts w:ascii="Times New Roman" w:cs="Times New Roman" w:eastAsia="Times New Roman" w:hAnsi="Times New Roman"/>
          <w:b/>
          <w:bCs/>
          <w:sz w:val="26"/>
          <w:szCs w:val="26"/>
        </w:rPr>
        <w:t xml:space="preserve">7. Mẫu báo cáo tổng hợp đầu ra</w:t>
      </w:r>
    </w:p>
    <w:p>
      <w:pPr>
        <w:pStyle w:val="ListParagraph"/>
        <w:numPr>
          <w:ilvl w:val="0"/>
          <w:numId w:val="2"/>
        </w:numPr>
        <w:spacing w:after="80" w:line="300"/>
      </w:pPr>
      <w:r>
        <w:rPr>
          <w:rFonts w:ascii="Times New Roman" w:cs="Times New Roman" w:eastAsia="Times New Roman" w:hAnsi="Times New Roman"/>
          <w:sz w:val="24"/>
          <w:szCs w:val="24"/>
        </w:rPr>
        <w:t xml:space="preserve">Theo khóa học: điểm trung bình từng giảng viên đã dạy khóa đó, tỷ lệ hoàn thành khảo sát của khóa.</w:t>
      </w:r>
    </w:p>
    <w:p>
      <w:pPr>
        <w:pStyle w:val="ListParagraph"/>
        <w:numPr>
          <w:ilvl w:val="0"/>
          <w:numId w:val="2"/>
        </w:numPr>
        <w:spacing w:after="80" w:line="300"/>
      </w:pPr>
      <w:r>
        <w:rPr>
          <w:rFonts w:ascii="Times New Roman" w:cs="Times New Roman" w:eastAsia="Times New Roman" w:hAnsi="Times New Roman"/>
          <w:sz w:val="24"/>
          <w:szCs w:val="24"/>
        </w:rPr>
        <w:t xml:space="preserve">Theo giảng viên: xu hướng điểm theo tháng/quý (thay thế các tab "T1...T12" thủ công hiện tại), tỷ lệ đạt KPI theo kỳ.</w:t>
      </w:r>
    </w:p>
    <w:p>
      <w:pPr>
        <w:pStyle w:val="ListParagraph"/>
        <w:numPr>
          <w:ilvl w:val="0"/>
          <w:numId w:val="2"/>
        </w:numPr>
        <w:spacing w:after="80" w:line="300"/>
      </w:pPr>
      <w:r>
        <w:rPr>
          <w:rFonts w:ascii="Times New Roman" w:cs="Times New Roman" w:eastAsia="Times New Roman" w:hAnsi="Times New Roman"/>
          <w:sz w:val="24"/>
          <w:szCs w:val="24"/>
        </w:rPr>
        <w:t xml:space="preserve">Theo QTĐT: KPI tổng hợp của nhóm giảng viên phụ trách, theo kỳ báo cáo.</w:t>
      </w:r>
    </w:p>
    <w:p>
      <w:pPr>
        <w:spacing w:after="150" w:before="300"/>
      </w:pPr>
      <w:r>
        <w:rPr>
          <w:rFonts w:ascii="Times New Roman" w:cs="Times New Roman" w:eastAsia="Times New Roman" w:hAnsi="Times New Roman"/>
          <w:b/>
          <w:bCs/>
          <w:sz w:val="26"/>
          <w:szCs w:val="26"/>
        </w:rPr>
        <w:t xml:space="preserve">8. Vấn đề cần xác nhận trước khi P.CN lập trình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700"/>
        <w:gridCol w:w="4650"/>
      </w:tblGrid>
      <w:tr>
        <w:trPr>
          <w:tblHeader/>
        </w:trPr>
        <w:tc>
          <w:tcPr>
            <w:tcW w:type="dxa" w:w="4700"/>
            <w:shd w:fill="D9D9D9" w:val="clear"/>
            <w:tcMar>
              <w:top w:type="dxa" w:w="80"/>
              <w:left w:type="dxa" w:w="100"/>
              <w:bottom w:type="dxa" w:w="80"/>
              <w:right w:type="dxa" w:w="100"/>
            </w:tcMar>
          </w:tcPr>
          <w:p>
            <w:r>
              <w:rPr>
                <w:rFonts w:ascii="Times New Roman" w:cs="Times New Roman" w:eastAsia="Times New Roman" w:hAnsi="Times New Roman"/>
                <w:b/>
                <w:bCs/>
                <w:sz w:val="21"/>
                <w:szCs w:val="21"/>
              </w:rPr>
              <w:t xml:space="preserve">Nội dung cần chốt</w:t>
            </w:r>
          </w:p>
        </w:tc>
        <w:tc>
          <w:tcPr>
            <w:tcW w:type="dxa" w:w="4650"/>
            <w:shd w:fill="D9D9D9" w:val="clear"/>
            <w:tcMar>
              <w:top w:type="dxa" w:w="80"/>
              <w:left w:type="dxa" w:w="100"/>
              <w:bottom w:type="dxa" w:w="80"/>
              <w:right w:type="dxa" w:w="100"/>
            </w:tcMar>
          </w:tcPr>
          <w:p>
            <w:r>
              <w:rPr>
                <w:rFonts w:ascii="Times New Roman" w:cs="Times New Roman" w:eastAsia="Times New Roman" w:hAnsi="Times New Roman"/>
                <w:b/>
                <w:bCs/>
                <w:sz w:val="21"/>
                <w:szCs w:val="21"/>
              </w:rPr>
              <w:t xml:space="preserve">Ghi chú</w:t>
            </w:r>
          </w:p>
        </w:tc>
      </w:tr>
      <w:tr>
        <w:tc>
          <w:tcPr>
            <w:tcW w:type="dxa" w:w="47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"Điểm &gt;8" tính trên điểm trung bình phiếu hay tổng điểm?</w:t>
            </w:r>
          </w:p>
        </w:tc>
        <w:tc>
          <w:tcPr>
            <w:tcW w:type="dxa" w:w="465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Đặc tả này giả định là điểm trung bình — cần P.NVĐT xác nhận</w:t>
            </w:r>
          </w:p>
        </w:tc>
      </w:tr>
      <w:tr>
        <w:tc>
          <w:tcPr>
            <w:tcW w:type="dxa" w:w="47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Số ngày tối đa để nhắc học viên chưa hoàn thành khảo sát</w:t>
            </w:r>
          </w:p>
        </w:tc>
        <w:tc>
          <w:tcPr>
            <w:tcW w:type="dxa" w:w="465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Đề xuất 3–5 ngày sau buổi học</w:t>
            </w:r>
          </w:p>
        </w:tc>
      </w:tr>
      <w:tr>
        <w:tc>
          <w:tcPr>
            <w:tcW w:type="dxa" w:w="47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Cơ chế lấy email học viên</w:t>
            </w:r>
          </w:p>
        </w:tc>
        <w:tc>
          <w:tcPr>
            <w:tcW w:type="dxa" w:w="465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Phụ thuộc dữ liệu Đài gửi lên web quản lý đào tạo trước khai giảng</w:t>
            </w:r>
          </w:p>
        </w:tc>
      </w:tr>
      <w:tr>
        <w:tc>
          <w:tcPr>
            <w:tcW w:type="dxa" w:w="47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Bảng ánh xạ GV → QTĐT phụ trách có cần cho phép cập nhật khi đổi phân công?</w:t>
            </w:r>
          </w:p>
        </w:tc>
        <w:tc>
          <w:tcPr>
            <w:tcW w:type="dxa" w:w="465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Đề xuất có, do P.NVĐT quản trị</w:t>
            </w:r>
          </w:p>
        </w:tc>
      </w:tr>
    </w:tbl>
    <w:sectPr>
      <w:pgSz w:w="11907" w:h="16840"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2026-09-16T02:56:20.096Z</dcterms:created>
  <dcterms:modified xsi:type="dcterms:W3CDTF">2026-09-16T02:56:20.106Z</dcterms:modified>
</cp:coreProperties>
</file>

<file path=docProps/custom.xml><?xml version="1.0" encoding="utf-8"?>
<Properties xmlns="http://schemas.openxmlformats.org/officeDocument/2006/custom-properties" xmlns:vt="http://schemas.openxmlformats.org/officeDocument/2006/docPropsVTypes"/>
</file>