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1 INTERNSHIP TASK</w:t>
      </w:r>
    </w:p>
    <w:p>
      <w:pPr>
        <w:jc w:val="center"/>
      </w:pPr>
      <w:r>
        <w:rPr>
          <w:b/>
          <w:sz w:val="54"/>
        </w:rPr>
        <w:t>AI Architecture Blueprint</w:t>
      </w:r>
    </w:p>
    <w:p>
      <w:pPr>
        <w:jc w:val="center"/>
      </w:pPr>
      <w:r>
        <w:rPr>
          <w:b/>
          <w:sz w:val="34"/>
        </w:rPr>
        <w:t>AI-Powered Phishing Email Detection &amp; SOC Triage Platform</w:t>
      </w:r>
    </w:p>
    <w:p/>
    <w:p>
      <w:pPr>
        <w:jc w:val="center"/>
      </w:pPr>
      <w:r>
        <w:rPr>
          <w:i/>
        </w:rPr>
        <w:t>Prepared as a Week 1 AI Solutions Architecture Proposal</w:t>
      </w:r>
    </w:p>
    <w:p>
      <w:pPr>
        <w:jc w:val="center"/>
      </w:pPr>
      <w:r>
        <w:t>Submission focus: scalability • modularity • robustness • responsible AI</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Document Control</w:t>
            </w:r>
          </w:p>
        </w:tc>
        <w:tc>
          <w:tcPr>
            <w:tcW w:type="dxa" w:w="5040"/>
            <w:shd w:fill="D9EAF7"/>
          </w:tcPr>
          <w:p>
            <w:r>
              <w:rPr>
                <w:b/>
              </w:rPr>
              <w:t>Value</w:t>
            </w:r>
          </w:p>
        </w:tc>
      </w:tr>
      <w:tr>
        <w:tc>
          <w:tcPr>
            <w:tcW w:type="dxa" w:w="5040"/>
            <w:vAlign w:val="center"/>
          </w:tcPr>
          <w:p>
            <w:r>
              <w:t>Task</w:t>
            </w:r>
          </w:p>
        </w:tc>
        <w:tc>
          <w:tcPr>
            <w:tcW w:type="dxa" w:w="5040"/>
            <w:vAlign w:val="center"/>
          </w:tcPr>
          <w:p>
            <w:r>
              <w:t>Week 1 – Designing the AI Architecture Blueprint</w:t>
            </w:r>
          </w:p>
        </w:tc>
      </w:tr>
      <w:tr>
        <w:tc>
          <w:tcPr>
            <w:tcW w:type="dxa" w:w="5040"/>
            <w:vAlign w:val="center"/>
          </w:tcPr>
          <w:p>
            <w:r>
              <w:t>Solution Domain</w:t>
            </w:r>
          </w:p>
        </w:tc>
        <w:tc>
          <w:tcPr>
            <w:tcW w:type="dxa" w:w="5040"/>
            <w:vAlign w:val="center"/>
          </w:tcPr>
          <w:p>
            <w:r>
              <w:t>Cybersecurity / AI Automation</w:t>
            </w:r>
          </w:p>
        </w:tc>
      </w:tr>
      <w:tr>
        <w:tc>
          <w:tcPr>
            <w:tcW w:type="dxa" w:w="5040"/>
            <w:vAlign w:val="center"/>
          </w:tcPr>
          <w:p>
            <w:r>
              <w:t>Architecture Style</w:t>
            </w:r>
          </w:p>
        </w:tc>
        <w:tc>
          <w:tcPr>
            <w:tcW w:type="dxa" w:w="5040"/>
            <w:vAlign w:val="center"/>
          </w:tcPr>
          <w:p>
            <w:r>
              <w:t>Modular, event-driven, API-first</w:t>
            </w:r>
          </w:p>
        </w:tc>
      </w:tr>
      <w:tr>
        <w:tc>
          <w:tcPr>
            <w:tcW w:type="dxa" w:w="5040"/>
            <w:vAlign w:val="center"/>
          </w:tcPr>
          <w:p>
            <w:r>
              <w:t>Primary Users</w:t>
            </w:r>
          </w:p>
        </w:tc>
        <w:tc>
          <w:tcPr>
            <w:tcW w:type="dxa" w:w="5040"/>
            <w:vAlign w:val="center"/>
          </w:tcPr>
          <w:p>
            <w:r>
              <w:t>SOC analysts, security administrators</w:t>
            </w:r>
          </w:p>
        </w:tc>
      </w:tr>
      <w:tr>
        <w:tc>
          <w:tcPr>
            <w:tcW w:type="dxa" w:w="5040"/>
            <w:vAlign w:val="center"/>
          </w:tcPr>
          <w:p>
            <w:r>
              <w:t>Prepared</w:t>
            </w:r>
          </w:p>
        </w:tc>
        <w:tc>
          <w:tcPr>
            <w:tcW w:type="dxa" w:w="5040"/>
            <w:vAlign w:val="center"/>
          </w:tcPr>
          <w:p>
            <w:r>
              <w:t>October 2026</w:t>
            </w:r>
          </w:p>
        </w:tc>
      </w:tr>
      <w:tr>
        <w:tc>
          <w:tcPr>
            <w:tcW w:type="dxa" w:w="5040"/>
            <w:vAlign w:val="center"/>
          </w:tcPr>
          <w:p>
            <w:r>
              <w:t>Status</w:t>
            </w:r>
          </w:p>
        </w:tc>
        <w:tc>
          <w:tcPr>
            <w:tcW w:type="dxa" w:w="5040"/>
            <w:vAlign w:val="center"/>
          </w:tcPr>
          <w:p>
            <w:r>
              <w:t>Architecture / planning stage</w:t>
            </w:r>
          </w:p>
        </w:tc>
      </w:tr>
    </w:tbl>
    <w:p>
      <w:r>
        <w:br w:type="page"/>
      </w:r>
    </w:p>
    <w:p>
      <w:pPr>
        <w:pStyle w:val="Heading1"/>
      </w:pPr>
      <w:r>
        <w:t>1. Executive Summary</w:t>
      </w:r>
    </w:p>
    <w:p>
      <w:r>
        <w:t>This document proposes a scalable AI-powered platform for detecting, analyzing, and triaging suspicious emails. The system combines deterministic security rules, machine-learning classification, large-language-model analysis, external reputation signals, and human approval. The objective is not to replace security analysts; it is to reduce manual triage effort while keeping high-impact decisions explainable and reviewable.</w:t>
      </w:r>
    </w:p>
    <w:p>
      <w:r>
        <w:t>The architecture is intentionally modular. Email ingestion, normalization, rules, AI analysis, scoring, workflow orchestration, storage, monitoring, and human review are separate components connected through APIs/events. This allows a component to be replaced or scaled without redesigning the entire platform.</w:t>
      </w:r>
    </w:p>
    <w:p>
      <w:r>
        <w:t>The design follows principles from NIST AI RMF, which emphasizes trustworthy AI and continuous risk management, and well-architected ML guidance that covers problem framing, data processing, model development, deployment, and monitoring.</w:t>
      </w:r>
    </w:p>
    <w:p>
      <w:pPr>
        <w:pStyle w:val="Heading2"/>
      </w:pPr>
      <w:r>
        <w:t>Expected business value</w:t>
      </w:r>
    </w:p>
    <w:p>
      <w:pPr>
        <w:pStyle w:val="ListBullet"/>
      </w:pPr>
      <w:r>
        <w:t>Reduce time spent manually reviewing routine email alerts.</w:t>
      </w:r>
    </w:p>
    <w:p>
      <w:pPr>
        <w:pStyle w:val="ListBullet"/>
      </w:pPr>
      <w:r>
        <w:t>Prioritize potentially dangerous messages using a consistent risk score.</w:t>
      </w:r>
    </w:p>
    <w:p>
      <w:pPr>
        <w:pStyle w:val="ListBullet"/>
      </w:pPr>
      <w:r>
        <w:t>Keep human review for uncertain or high-impact decisions.</w:t>
      </w:r>
    </w:p>
    <w:p>
      <w:pPr>
        <w:pStyle w:val="ListBullet"/>
      </w:pPr>
      <w:r>
        <w:t>Create an auditable record of inputs, model versions, decisions, and analyst feedback.</w:t>
      </w:r>
    </w:p>
    <w:p>
      <w:pPr>
        <w:pStyle w:val="ListBullet"/>
      </w:pPr>
      <w:r>
        <w:t>Support future scale by separating ingestion, AI inference, storage, and workflow components.</w:t>
      </w:r>
    </w:p>
    <w:p>
      <w:pPr>
        <w:pStyle w:val="Heading1"/>
      </w:pPr>
      <w:r>
        <w:t>2. Problem Statement and Scope</w:t>
      </w:r>
    </w:p>
    <w:p>
      <w:pPr>
        <w:pStyle w:val="Heading2"/>
      </w:pPr>
      <w:r>
        <w:t>2.1 Problem</w:t>
      </w:r>
    </w:p>
    <w:p>
      <w:r>
        <w:t>Organizations receive large volumes of email. A small percentage may contain phishing indicators such as suspicious links, impersonation, unusual sender behavior, urgent requests, or credential-collection attempts. Manual triage can be slow and inconsistent, especially when analysts must inspect many low-risk messages.</w:t>
      </w:r>
    </w:p>
    <w:p>
      <w:pPr>
        <w:pStyle w:val="Heading2"/>
      </w:pPr>
      <w:r>
        <w:t>2.2 Proposed solution</w:t>
      </w:r>
    </w:p>
    <w:p>
      <w:r>
        <w:t>Build an AI-assisted email triage platform that ingests messages, extracts relevant features, applies fast security rules, performs AI-based semantic analysis, combines the evidence into a risk score, and routes the result to the appropriate workflow.</w:t>
      </w:r>
    </w:p>
    <w:p>
      <w:pPr>
        <w:pStyle w:val="Heading2"/>
      </w:pPr>
      <w:r>
        <w:t>2.3 In scope</w:t>
      </w:r>
    </w:p>
    <w:p>
      <w:pPr>
        <w:pStyle w:val="ListBullet"/>
      </w:pPr>
      <w:r>
        <w:t>Email ingestion through supported APIs/connectors.</w:t>
      </w:r>
    </w:p>
    <w:p>
      <w:pPr>
        <w:pStyle w:val="ListBullet"/>
      </w:pPr>
      <w:r>
        <w:t>Message normalization and safe extraction of headers, text, and URLs.</w:t>
      </w:r>
    </w:p>
    <w:p>
      <w:pPr>
        <w:pStyle w:val="ListBullet"/>
      </w:pPr>
      <w:r>
        <w:t>Rule-based checks for obvious indicators.</w:t>
      </w:r>
    </w:p>
    <w:p>
      <w:pPr>
        <w:pStyle w:val="ListBullet"/>
      </w:pPr>
      <w:r>
        <w:t>ML classification and LLM-based explanation/classification.</w:t>
      </w:r>
    </w:p>
    <w:p>
      <w:pPr>
        <w:pStyle w:val="ListBullet"/>
      </w:pPr>
      <w:r>
        <w:t>URL/domain reputation enrichment through approved security APIs.</w:t>
      </w:r>
    </w:p>
    <w:p>
      <w:pPr>
        <w:pStyle w:val="ListBullet"/>
      </w:pPr>
      <w:r>
        <w:t>Risk scoring and low/medium/high routing.</w:t>
      </w:r>
    </w:p>
    <w:p>
      <w:pPr>
        <w:pStyle w:val="ListBullet"/>
      </w:pPr>
      <w:r>
        <w:t>Human review and feedback capture.</w:t>
      </w:r>
    </w:p>
    <w:p>
      <w:pPr>
        <w:pStyle w:val="ListBullet"/>
      </w:pPr>
      <w:r>
        <w:t>Audit logging, monitoring, model/prompt versioning, and error handling.</w:t>
      </w:r>
    </w:p>
    <w:p>
      <w:pPr>
        <w:pStyle w:val="Heading2"/>
      </w:pPr>
      <w:r>
        <w:t>2.4 Out of scope for the first version</w:t>
      </w:r>
    </w:p>
    <w:p>
      <w:pPr>
        <w:pStyle w:val="ListBullet"/>
      </w:pPr>
      <w:r>
        <w:t>Automatic destructive actions such as deleting mailboxes or changing security policies.</w:t>
      </w:r>
    </w:p>
    <w:p>
      <w:pPr>
        <w:pStyle w:val="ListBullet"/>
      </w:pPr>
      <w:r>
        <w:t>Autonomous external communication without human approval.</w:t>
      </w:r>
    </w:p>
    <w:p>
      <w:pPr>
        <w:pStyle w:val="ListBullet"/>
      </w:pPr>
      <w:r>
        <w:t>Building a new foundation model from scratch.</w:t>
      </w:r>
    </w:p>
    <w:p>
      <w:pPr>
        <w:pStyle w:val="ListBullet"/>
      </w:pPr>
      <w:r>
        <w:t>Offensive security testing or exploitation.</w:t>
      </w:r>
    </w:p>
    <w:p>
      <w:pPr>
        <w:pStyle w:val="Heading1"/>
      </w:pPr>
      <w:r>
        <w:t>3. Functional and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Type</w:t>
            </w:r>
          </w:p>
        </w:tc>
        <w:tc>
          <w:tcPr>
            <w:tcW w:type="dxa" w:w="3360"/>
            <w:shd w:fill="D9EAF7"/>
          </w:tcPr>
          <w:p>
            <w:r>
              <w:rPr>
                <w:b/>
              </w:rPr>
              <w:t>Requirement</w:t>
            </w:r>
          </w:p>
        </w:tc>
        <w:tc>
          <w:tcPr>
            <w:tcW w:type="dxa" w:w="3360"/>
            <w:shd w:fill="D9EAF7"/>
          </w:tcPr>
          <w:p>
            <w:r>
              <w:rPr>
                <w:b/>
              </w:rPr>
              <w:t>Priority</w:t>
            </w:r>
          </w:p>
        </w:tc>
      </w:tr>
      <w:tr>
        <w:tc>
          <w:tcPr>
            <w:tcW w:type="dxa" w:w="3360"/>
            <w:vAlign w:val="center"/>
          </w:tcPr>
          <w:p>
            <w:r>
              <w:t>Functional</w:t>
            </w:r>
          </w:p>
        </w:tc>
        <w:tc>
          <w:tcPr>
            <w:tcW w:type="dxa" w:w="3360"/>
            <w:vAlign w:val="center"/>
          </w:tcPr>
          <w:p>
            <w:r>
              <w:t>Ingest new emails and create a unique event ID</w:t>
            </w:r>
          </w:p>
        </w:tc>
        <w:tc>
          <w:tcPr>
            <w:tcW w:type="dxa" w:w="3360"/>
            <w:vAlign w:val="center"/>
          </w:tcPr>
          <w:p>
            <w:r>
              <w:t>High</w:t>
            </w:r>
          </w:p>
        </w:tc>
      </w:tr>
      <w:tr>
        <w:tc>
          <w:tcPr>
            <w:tcW w:type="dxa" w:w="3360"/>
            <w:vAlign w:val="center"/>
          </w:tcPr>
          <w:p>
            <w:r>
              <w:t>Functional</w:t>
            </w:r>
          </w:p>
        </w:tc>
        <w:tc>
          <w:tcPr>
            <w:tcW w:type="dxa" w:w="3360"/>
            <w:vAlign w:val="center"/>
          </w:tcPr>
          <w:p>
            <w:r>
              <w:t>Extract sender, subject, body text, headers, and URLs safely</w:t>
            </w:r>
          </w:p>
        </w:tc>
        <w:tc>
          <w:tcPr>
            <w:tcW w:type="dxa" w:w="3360"/>
            <w:vAlign w:val="center"/>
          </w:tcPr>
          <w:p>
            <w:r>
              <w:t>High</w:t>
            </w:r>
          </w:p>
        </w:tc>
      </w:tr>
      <w:tr>
        <w:tc>
          <w:tcPr>
            <w:tcW w:type="dxa" w:w="3360"/>
            <w:vAlign w:val="center"/>
          </w:tcPr>
          <w:p>
            <w:r>
              <w:t>Functional</w:t>
            </w:r>
          </w:p>
        </w:tc>
        <w:tc>
          <w:tcPr>
            <w:tcW w:type="dxa" w:w="3360"/>
            <w:vAlign w:val="center"/>
          </w:tcPr>
          <w:p>
            <w:r>
              <w:t>Run deterministic security rules before expensive AI inference</w:t>
            </w:r>
          </w:p>
        </w:tc>
        <w:tc>
          <w:tcPr>
            <w:tcW w:type="dxa" w:w="3360"/>
            <w:vAlign w:val="center"/>
          </w:tcPr>
          <w:p>
            <w:r>
              <w:t>High</w:t>
            </w:r>
          </w:p>
        </w:tc>
      </w:tr>
      <w:tr>
        <w:tc>
          <w:tcPr>
            <w:tcW w:type="dxa" w:w="3360"/>
            <w:vAlign w:val="center"/>
          </w:tcPr>
          <w:p>
            <w:r>
              <w:t>Functional</w:t>
            </w:r>
          </w:p>
        </w:tc>
        <w:tc>
          <w:tcPr>
            <w:tcW w:type="dxa" w:w="3360"/>
            <w:vAlign w:val="center"/>
          </w:tcPr>
          <w:p>
            <w:r>
              <w:t>Generate AI classification, evidence summary, and confidence</w:t>
            </w:r>
          </w:p>
        </w:tc>
        <w:tc>
          <w:tcPr>
            <w:tcW w:type="dxa" w:w="3360"/>
            <w:vAlign w:val="center"/>
          </w:tcPr>
          <w:p>
            <w:r>
              <w:t>High</w:t>
            </w:r>
          </w:p>
        </w:tc>
      </w:tr>
      <w:tr>
        <w:tc>
          <w:tcPr>
            <w:tcW w:type="dxa" w:w="3360"/>
            <w:vAlign w:val="center"/>
          </w:tcPr>
          <w:p>
            <w:r>
              <w:t>Functional</w:t>
            </w:r>
          </w:p>
        </w:tc>
        <w:tc>
          <w:tcPr>
            <w:tcW w:type="dxa" w:w="3360"/>
            <w:vAlign w:val="center"/>
          </w:tcPr>
          <w:p>
            <w:r>
              <w:t>Calculate a combined risk score and route the case</w:t>
            </w:r>
          </w:p>
        </w:tc>
        <w:tc>
          <w:tcPr>
            <w:tcW w:type="dxa" w:w="3360"/>
            <w:vAlign w:val="center"/>
          </w:tcPr>
          <w:p>
            <w:r>
              <w:t>High</w:t>
            </w:r>
          </w:p>
        </w:tc>
      </w:tr>
      <w:tr>
        <w:tc>
          <w:tcPr>
            <w:tcW w:type="dxa" w:w="3360"/>
            <w:vAlign w:val="center"/>
          </w:tcPr>
          <w:p>
            <w:r>
              <w:t>Functional</w:t>
            </w:r>
          </w:p>
        </w:tc>
        <w:tc>
          <w:tcPr>
            <w:tcW w:type="dxa" w:w="3360"/>
            <w:vAlign w:val="center"/>
          </w:tcPr>
          <w:p>
            <w:r>
              <w:t>Allow analyst override and capture feedback</w:t>
            </w:r>
          </w:p>
        </w:tc>
        <w:tc>
          <w:tcPr>
            <w:tcW w:type="dxa" w:w="3360"/>
            <w:vAlign w:val="center"/>
          </w:tcPr>
          <w:p>
            <w:r>
              <w:t>High</w:t>
            </w:r>
          </w:p>
        </w:tc>
      </w:tr>
      <w:tr>
        <w:tc>
          <w:tcPr>
            <w:tcW w:type="dxa" w:w="3360"/>
            <w:vAlign w:val="center"/>
          </w:tcPr>
          <w:p>
            <w:r>
              <w:t>Functional</w:t>
            </w:r>
          </w:p>
        </w:tc>
        <w:tc>
          <w:tcPr>
            <w:tcW w:type="dxa" w:w="3360"/>
            <w:vAlign w:val="center"/>
          </w:tcPr>
          <w:p>
            <w:r>
              <w:t>Record audit events and model/prompt versions</w:t>
            </w:r>
          </w:p>
        </w:tc>
        <w:tc>
          <w:tcPr>
            <w:tcW w:type="dxa" w:w="3360"/>
            <w:vAlign w:val="center"/>
          </w:tcPr>
          <w:p>
            <w:r>
              <w:t>High</w:t>
            </w:r>
          </w:p>
        </w:tc>
      </w:tr>
      <w:tr>
        <w:tc>
          <w:tcPr>
            <w:tcW w:type="dxa" w:w="3360"/>
            <w:vAlign w:val="center"/>
          </w:tcPr>
          <w:p>
            <w:r>
              <w:t>Non-functional</w:t>
            </w:r>
          </w:p>
        </w:tc>
        <w:tc>
          <w:tcPr>
            <w:tcW w:type="dxa" w:w="3360"/>
            <w:vAlign w:val="center"/>
          </w:tcPr>
          <w:p>
            <w:r>
              <w:t>Modular components with clear APIs</w:t>
            </w:r>
          </w:p>
        </w:tc>
        <w:tc>
          <w:tcPr>
            <w:tcW w:type="dxa" w:w="3360"/>
            <w:vAlign w:val="center"/>
          </w:tcPr>
          <w:p>
            <w:r>
              <w:t>High</w:t>
            </w:r>
          </w:p>
        </w:tc>
      </w:tr>
      <w:tr>
        <w:tc>
          <w:tcPr>
            <w:tcW w:type="dxa" w:w="3360"/>
            <w:vAlign w:val="center"/>
          </w:tcPr>
          <w:p>
            <w:r>
              <w:t>Non-functional</w:t>
            </w:r>
          </w:p>
        </w:tc>
        <w:tc>
          <w:tcPr>
            <w:tcW w:type="dxa" w:w="3360"/>
            <w:vAlign w:val="center"/>
          </w:tcPr>
          <w:p>
            <w:r>
              <w:t>Retryable, observable workflows with dead-letter handling</w:t>
            </w:r>
          </w:p>
        </w:tc>
        <w:tc>
          <w:tcPr>
            <w:tcW w:type="dxa" w:w="3360"/>
            <w:vAlign w:val="center"/>
          </w:tcPr>
          <w:p>
            <w:r>
              <w:t>High</w:t>
            </w:r>
          </w:p>
        </w:tc>
      </w:tr>
      <w:tr>
        <w:tc>
          <w:tcPr>
            <w:tcW w:type="dxa" w:w="3360"/>
            <w:vAlign w:val="center"/>
          </w:tcPr>
          <w:p>
            <w:r>
              <w:t>Non-functional</w:t>
            </w:r>
          </w:p>
        </w:tc>
        <w:tc>
          <w:tcPr>
            <w:tcW w:type="dxa" w:w="3360"/>
            <w:vAlign w:val="center"/>
          </w:tcPr>
          <w:p>
            <w:r>
              <w:t>Protect credentials and sensitive email content</w:t>
            </w:r>
          </w:p>
        </w:tc>
        <w:tc>
          <w:tcPr>
            <w:tcW w:type="dxa" w:w="3360"/>
            <w:vAlign w:val="center"/>
          </w:tcPr>
          <w:p>
            <w:r>
              <w:t>High</w:t>
            </w:r>
          </w:p>
        </w:tc>
      </w:tr>
      <w:tr>
        <w:tc>
          <w:tcPr>
            <w:tcW w:type="dxa" w:w="3360"/>
            <w:vAlign w:val="center"/>
          </w:tcPr>
          <w:p>
            <w:r>
              <w:t>Non-functional</w:t>
            </w:r>
          </w:p>
        </w:tc>
        <w:tc>
          <w:tcPr>
            <w:tcW w:type="dxa" w:w="3360"/>
            <w:vAlign w:val="center"/>
          </w:tcPr>
          <w:p>
            <w:r>
              <w:t>Scale inference and ingestion independently</w:t>
            </w:r>
          </w:p>
        </w:tc>
        <w:tc>
          <w:tcPr>
            <w:tcW w:type="dxa" w:w="3360"/>
            <w:vAlign w:val="center"/>
          </w:tcPr>
          <w:p>
            <w:r>
              <w:t>Medium</w:t>
            </w:r>
          </w:p>
        </w:tc>
      </w:tr>
      <w:tr>
        <w:tc>
          <w:tcPr>
            <w:tcW w:type="dxa" w:w="3360"/>
            <w:vAlign w:val="center"/>
          </w:tcPr>
          <w:p>
            <w:r>
              <w:t>Non-functional</w:t>
            </w:r>
          </w:p>
        </w:tc>
        <w:tc>
          <w:tcPr>
            <w:tcW w:type="dxa" w:w="3360"/>
            <w:vAlign w:val="center"/>
          </w:tcPr>
          <w:p>
            <w:r>
              <w:t>Target predictable latency for normal messages</w:t>
            </w:r>
          </w:p>
        </w:tc>
        <w:tc>
          <w:tcPr>
            <w:tcW w:type="dxa" w:w="3360"/>
            <w:vAlign w:val="center"/>
          </w:tcPr>
          <w:p>
            <w:r>
              <w:t>Medium</w:t>
            </w:r>
          </w:p>
        </w:tc>
      </w:tr>
    </w:tbl>
    <w:p>
      <w:pPr>
        <w:pStyle w:val="Heading1"/>
      </w:pPr>
      <w:r>
        <w:t>4. Research and Architecture Principles</w:t>
      </w:r>
    </w:p>
    <w:p>
      <w:r>
        <w:t>The blueprint was informed by publicly available guidance from NIST, AWS, Google Cloud, and OWASP. The sources were reviewed for trustworthy AI, ML lifecycle management, resilience, security, monitoring, and AI-specific risks.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Source / framework</w:t>
            </w:r>
          </w:p>
        </w:tc>
        <w:tc>
          <w:tcPr>
            <w:tcW w:type="dxa" w:w="5040"/>
            <w:shd w:fill="D9EAF7"/>
          </w:tcPr>
          <w:p>
            <w:r>
              <w:rPr>
                <w:b/>
              </w:rPr>
              <w:t>Relevant principle used in this design</w:t>
            </w:r>
          </w:p>
        </w:tc>
      </w:tr>
      <w:tr>
        <w:tc>
          <w:tcPr>
            <w:tcW w:type="dxa" w:w="5040"/>
            <w:vAlign w:val="center"/>
          </w:tcPr>
          <w:p>
            <w:r>
              <w:t>NIST AI RMF 1.0</w:t>
            </w:r>
          </w:p>
        </w:tc>
        <w:tc>
          <w:tcPr>
            <w:tcW w:type="dxa" w:w="5040"/>
            <w:vAlign w:val="center"/>
          </w:tcPr>
          <w:p>
            <w:r>
              <w:t>Govern, Map, Measure, and Manage AI risks throughout the lifecycle.</w:t>
            </w:r>
          </w:p>
        </w:tc>
      </w:tr>
      <w:tr>
        <w:tc>
          <w:tcPr>
            <w:tcW w:type="dxa" w:w="5040"/>
            <w:vAlign w:val="center"/>
          </w:tcPr>
          <w:p>
            <w:r>
              <w:t>NIST Trustworthy AI</w:t>
            </w:r>
          </w:p>
        </w:tc>
        <w:tc>
          <w:tcPr>
            <w:tcW w:type="dxa" w:w="5040"/>
            <w:vAlign w:val="center"/>
          </w:tcPr>
          <w:p>
            <w:r>
              <w:t>Consider validity/reliability, safety, security/resilience, accountability/transparency, explainability, privacy, and fairness.</w:t>
            </w:r>
          </w:p>
        </w:tc>
      </w:tr>
      <w:tr>
        <w:tc>
          <w:tcPr>
            <w:tcW w:type="dxa" w:w="5040"/>
            <w:vAlign w:val="center"/>
          </w:tcPr>
          <w:p>
            <w:r>
              <w:t>AWS Well-Architected ML Lens</w:t>
            </w:r>
          </w:p>
        </w:tc>
        <w:tc>
          <w:tcPr>
            <w:tcW w:type="dxa" w:w="5040"/>
            <w:vAlign w:val="center"/>
          </w:tcPr>
          <w:p>
            <w:r>
              <w:t>Treat problem framing, data processing, model development, deployment, and monitoring as an iterative lifecycle.</w:t>
            </w:r>
          </w:p>
        </w:tc>
      </w:tr>
      <w:tr>
        <w:tc>
          <w:tcPr>
            <w:tcW w:type="dxa" w:w="5040"/>
            <w:vAlign w:val="center"/>
          </w:tcPr>
          <w:p>
            <w:r>
              <w:t>Google Cloud MLOps guidance</w:t>
            </w:r>
          </w:p>
        </w:tc>
        <w:tc>
          <w:tcPr>
            <w:tcW w:type="dxa" w:w="5040"/>
            <w:vAlign w:val="center"/>
          </w:tcPr>
          <w:p>
            <w:r>
              <w:t>Automate repeatable training/deployment processes and monitor predictive performance, datasets, models, and governance.</w:t>
            </w:r>
          </w:p>
        </w:tc>
      </w:tr>
      <w:tr>
        <w:tc>
          <w:tcPr>
            <w:tcW w:type="dxa" w:w="5040"/>
            <w:vAlign w:val="center"/>
          </w:tcPr>
          <w:p>
            <w:r>
              <w:t>OWASP LLM security guidance</w:t>
            </w:r>
          </w:p>
        </w:tc>
        <w:tc>
          <w:tcPr>
            <w:tcW w:type="dxa" w:w="5040"/>
            <w:vAlign w:val="center"/>
          </w:tcPr>
          <w:p>
            <w:r>
              <w:t>Design for AI-specific risks such as prompt injection and sensitive-information exposure.</w:t>
            </w:r>
          </w:p>
        </w:tc>
      </w:tr>
    </w:tbl>
    <w:p>
      <w:r>
        <w:t>Architecture conclusion: the solution should not depend on a single AI model. A layered design is more robust because rules can catch obvious cases, ML can provide statistical classification, LLMs can provide semantic reasoning/explanation, and human analysts remain the final control for ambiguous or high-impact decisions.</w:t>
      </w:r>
    </w:p>
    <w:p>
      <w:pPr>
        <w:pStyle w:val="Heading1"/>
      </w:pPr>
      <w:r>
        <w:t>5. High-Level Architecture</w:t>
      </w:r>
    </w:p>
    <w:p>
      <w:pPr>
        <w:jc w:val="center"/>
      </w:pPr>
      <w:r>
        <w:drawing>
          <wp:inline xmlns:a="http://schemas.openxmlformats.org/drawingml/2006/main" xmlns:pic="http://schemas.openxmlformats.org/drawingml/2006/picture">
            <wp:extent cx="6400800" cy="3921559"/>
            <wp:docPr id="1" name="Picture 1"/>
            <wp:cNvGraphicFramePr>
              <a:graphicFrameLocks noChangeAspect="1"/>
            </wp:cNvGraphicFramePr>
            <a:graphic>
              <a:graphicData uri="http://schemas.openxmlformats.org/drawingml/2006/picture">
                <pic:pic>
                  <pic:nvPicPr>
                    <pic:cNvPr id="0" name="ai_architecture_blueprint.png"/>
                    <pic:cNvPicPr/>
                  </pic:nvPicPr>
                  <pic:blipFill>
                    <a:blip r:embed="rId9"/>
                    <a:stretch>
                      <a:fillRect/>
                    </a:stretch>
                  </pic:blipFill>
                  <pic:spPr>
                    <a:xfrm>
                      <a:off x="0" y="0"/>
                      <a:ext cx="6400800" cy="3921559"/>
                    </a:xfrm>
                    <a:prstGeom prst="rect"/>
                  </pic:spPr>
                </pic:pic>
              </a:graphicData>
            </a:graphic>
          </wp:inline>
        </w:drawing>
      </w:r>
    </w:p>
    <w:p>
      <w:r>
        <w:t>Figure 1. High-level architecture. The design separates ingestion, security checks, AI analysis, decisioning, storage/monitoring, and human review so individual modules can evolve independently.</w:t>
      </w:r>
    </w:p>
    <w:p>
      <w:pPr>
        <w:pStyle w:val="Heading2"/>
      </w:pPr>
      <w:r>
        <w:t>5.1 Component descriptions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Component</w:t>
            </w:r>
          </w:p>
        </w:tc>
        <w:tc>
          <w:tcPr>
            <w:tcW w:type="dxa" w:w="3360"/>
            <w:shd w:fill="D9EAF7"/>
          </w:tcPr>
          <w:p>
            <w:r>
              <w:rPr>
                <w:b/>
              </w:rPr>
              <w:t>Purpose</w:t>
            </w:r>
          </w:p>
        </w:tc>
        <w:tc>
          <w:tcPr>
            <w:tcW w:type="dxa" w:w="3360"/>
            <w:shd w:fill="D9EAF7"/>
          </w:tcPr>
          <w:p>
            <w:r>
              <w:rPr>
                <w:b/>
              </w:rPr>
              <w:t>Why it exists</w:t>
            </w:r>
          </w:p>
        </w:tc>
      </w:tr>
      <w:tr>
        <w:tc>
          <w:tcPr>
            <w:tcW w:type="dxa" w:w="3360"/>
            <w:vAlign w:val="center"/>
          </w:tcPr>
          <w:p>
            <w:r>
              <w:t>Email Source Adapter</w:t>
            </w:r>
          </w:p>
        </w:tc>
        <w:tc>
          <w:tcPr>
            <w:tcW w:type="dxa" w:w="3360"/>
            <w:vAlign w:val="center"/>
          </w:tcPr>
          <w:p>
            <w:r>
              <w:t>Receives email events from Gmail/Microsoft 365 or another approved source.</w:t>
            </w:r>
          </w:p>
        </w:tc>
        <w:tc>
          <w:tcPr>
            <w:tcW w:type="dxa" w:w="3360"/>
            <w:vAlign w:val="center"/>
          </w:tcPr>
          <w:p>
            <w:r>
              <w:t>Keeps provider-specific logic isolated.</w:t>
            </w:r>
          </w:p>
        </w:tc>
      </w:tr>
      <w:tr>
        <w:tc>
          <w:tcPr>
            <w:tcW w:type="dxa" w:w="3360"/>
            <w:vAlign w:val="center"/>
          </w:tcPr>
          <w:p>
            <w:r>
              <w:t>n8n / Workflow Orchestrator</w:t>
            </w:r>
          </w:p>
        </w:tc>
        <w:tc>
          <w:tcPr>
            <w:tcW w:type="dxa" w:w="3360"/>
            <w:vAlign w:val="center"/>
          </w:tcPr>
          <w:p>
            <w:r>
              <w:t>Triggers and coordinates API calls, enrichment, retries, approvals, and notifications.</w:t>
            </w:r>
          </w:p>
        </w:tc>
        <w:tc>
          <w:tcPr>
            <w:tcW w:type="dxa" w:w="3360"/>
            <w:vAlign w:val="center"/>
          </w:tcPr>
          <w:p>
            <w:r>
              <w:t>Useful for rapid automation and integration.</w:t>
            </w:r>
          </w:p>
        </w:tc>
      </w:tr>
      <w:tr>
        <w:tc>
          <w:tcPr>
            <w:tcW w:type="dxa" w:w="3360"/>
            <w:vAlign w:val="center"/>
          </w:tcPr>
          <w:p>
            <w:r>
              <w:t>Normalization Service</w:t>
            </w:r>
          </w:p>
        </w:tc>
        <w:tc>
          <w:tcPr>
            <w:tcW w:type="dxa" w:w="3360"/>
            <w:vAlign w:val="center"/>
          </w:tcPr>
          <w:p>
            <w:r>
              <w:t>Converts provider-specific payloads into a common schema.</w:t>
            </w:r>
          </w:p>
        </w:tc>
        <w:tc>
          <w:tcPr>
            <w:tcW w:type="dxa" w:w="3360"/>
            <w:vAlign w:val="center"/>
          </w:tcPr>
          <w:p>
            <w:r>
              <w:t>Prevents downstream modules from depending on one provider.</w:t>
            </w:r>
          </w:p>
        </w:tc>
      </w:tr>
      <w:tr>
        <w:tc>
          <w:tcPr>
            <w:tcW w:type="dxa" w:w="3360"/>
            <w:vAlign w:val="center"/>
          </w:tcPr>
          <w:p>
            <w:r>
              <w:t>Rule Engine</w:t>
            </w:r>
          </w:p>
        </w:tc>
        <w:tc>
          <w:tcPr>
            <w:tcW w:type="dxa" w:w="3360"/>
            <w:vAlign w:val="center"/>
          </w:tcPr>
          <w:p>
            <w:r>
              <w:t>Checks obvious indicators such as authentication failures, suspicious URL patterns, or mismatched metadata.</w:t>
            </w:r>
          </w:p>
        </w:tc>
        <w:tc>
          <w:tcPr>
            <w:tcW w:type="dxa" w:w="3360"/>
            <w:vAlign w:val="center"/>
          </w:tcPr>
          <w:p>
            <w:r>
              <w:t>Fast, cheap, deterministic first layer.</w:t>
            </w:r>
          </w:p>
        </w:tc>
      </w:tr>
      <w:tr>
        <w:tc>
          <w:tcPr>
            <w:tcW w:type="dxa" w:w="3360"/>
            <w:vAlign w:val="center"/>
          </w:tcPr>
          <w:p>
            <w:r>
              <w:t>ML Classifier</w:t>
            </w:r>
          </w:p>
        </w:tc>
        <w:tc>
          <w:tcPr>
            <w:tcW w:type="dxa" w:w="3360"/>
            <w:vAlign w:val="center"/>
          </w:tcPr>
          <w:p>
            <w:r>
              <w:t>Predicts categories such as phishing/not-phishing or risk probability.</w:t>
            </w:r>
          </w:p>
        </w:tc>
        <w:tc>
          <w:tcPr>
            <w:tcW w:type="dxa" w:w="3360"/>
            <w:vAlign w:val="center"/>
          </w:tcPr>
          <w:p>
            <w:r>
              <w:t>Provides statistical pattern recognition.</w:t>
            </w:r>
          </w:p>
        </w:tc>
      </w:tr>
      <w:tr>
        <w:tc>
          <w:tcPr>
            <w:tcW w:type="dxa" w:w="3360"/>
            <w:vAlign w:val="center"/>
          </w:tcPr>
          <w:p>
            <w:r>
              <w:t>LLM Analysis Module</w:t>
            </w:r>
          </w:p>
        </w:tc>
        <w:tc>
          <w:tcPr>
            <w:tcW w:type="dxa" w:w="3360"/>
            <w:vAlign w:val="center"/>
          </w:tcPr>
          <w:p>
            <w:r>
              <w:t>Analyzes message semantics and produces structured evidence/explanation.</w:t>
            </w:r>
          </w:p>
        </w:tc>
        <w:tc>
          <w:tcPr>
            <w:tcW w:type="dxa" w:w="3360"/>
            <w:vAlign w:val="center"/>
          </w:tcPr>
          <w:p>
            <w:r>
              <w:t>Useful for context and natural-language reasoning.</w:t>
            </w:r>
          </w:p>
        </w:tc>
      </w:tr>
      <w:tr>
        <w:tc>
          <w:tcPr>
            <w:tcW w:type="dxa" w:w="3360"/>
            <w:vAlign w:val="center"/>
          </w:tcPr>
          <w:p>
            <w:r>
              <w:t>Threat Intelligence Adapter</w:t>
            </w:r>
          </w:p>
        </w:tc>
        <w:tc>
          <w:tcPr>
            <w:tcW w:type="dxa" w:w="3360"/>
            <w:vAlign w:val="center"/>
          </w:tcPr>
          <w:p>
            <w:r>
              <w:t>Queries approved reputation sources for URLs/domains/IPs where permitted.</w:t>
            </w:r>
          </w:p>
        </w:tc>
        <w:tc>
          <w:tcPr>
            <w:tcW w:type="dxa" w:w="3360"/>
            <w:vAlign w:val="center"/>
          </w:tcPr>
          <w:p>
            <w:r>
              <w:t>Adds external context without coupling the core model to one provider.</w:t>
            </w:r>
          </w:p>
        </w:tc>
      </w:tr>
      <w:tr>
        <w:tc>
          <w:tcPr>
            <w:tcW w:type="dxa" w:w="3360"/>
            <w:vAlign w:val="center"/>
          </w:tcPr>
          <w:p>
            <w:r>
              <w:t>Decision Engine</w:t>
            </w:r>
          </w:p>
        </w:tc>
        <w:tc>
          <w:tcPr>
            <w:tcW w:type="dxa" w:w="3360"/>
            <w:vAlign w:val="center"/>
          </w:tcPr>
          <w:p>
            <w:r>
              <w:t>Combines rules, model outputs, reputation, and confidence into a risk score.</w:t>
            </w:r>
          </w:p>
        </w:tc>
        <w:tc>
          <w:tcPr>
            <w:tcW w:type="dxa" w:w="3360"/>
            <w:vAlign w:val="center"/>
          </w:tcPr>
          <w:p>
            <w:r>
              <w:t>Centralizes policy instead of hiding decisions inside prompts.</w:t>
            </w:r>
          </w:p>
        </w:tc>
      </w:tr>
      <w:tr>
        <w:tc>
          <w:tcPr>
            <w:tcW w:type="dxa" w:w="3360"/>
            <w:vAlign w:val="center"/>
          </w:tcPr>
          <w:p>
            <w:r>
              <w:t>Case / Review Queue</w:t>
            </w:r>
          </w:p>
        </w:tc>
        <w:tc>
          <w:tcPr>
            <w:tcW w:type="dxa" w:w="3360"/>
            <w:vAlign w:val="center"/>
          </w:tcPr>
          <w:p>
            <w:r>
              <w:t>Stores medium/high-risk cases for analysts.</w:t>
            </w:r>
          </w:p>
        </w:tc>
        <w:tc>
          <w:tcPr>
            <w:tcW w:type="dxa" w:w="3360"/>
            <w:vAlign w:val="center"/>
          </w:tcPr>
          <w:p>
            <w:r>
              <w:t>Creates a human-in-the-loop control.</w:t>
            </w:r>
          </w:p>
        </w:tc>
      </w:tr>
      <w:tr>
        <w:tc>
          <w:tcPr>
            <w:tcW w:type="dxa" w:w="3360"/>
            <w:vAlign w:val="center"/>
          </w:tcPr>
          <w:p>
            <w:r>
              <w:t>Audit &amp; Monitoring</w:t>
            </w:r>
          </w:p>
        </w:tc>
        <w:tc>
          <w:tcPr>
            <w:tcW w:type="dxa" w:w="3360"/>
            <w:vAlign w:val="center"/>
          </w:tcPr>
          <w:p>
            <w:r>
              <w:t>Tracks events, latency, errors, model versions, drift signals, and analyst outcomes.</w:t>
            </w:r>
          </w:p>
        </w:tc>
        <w:tc>
          <w:tcPr>
            <w:tcW w:type="dxa" w:w="3360"/>
            <w:vAlign w:val="center"/>
          </w:tcPr>
          <w:p>
            <w:r>
              <w:t>Supports reliability, governance, and improvement.</w:t>
            </w:r>
          </w:p>
        </w:tc>
      </w:tr>
    </w:tbl>
    <w:p>
      <w:pPr>
        <w:pStyle w:val="Heading1"/>
      </w:pPr>
      <w:r>
        <w:t>6. Data Flow and Processing Pipeline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Stage</w:t>
            </w:r>
          </w:p>
        </w:tc>
        <w:tc>
          <w:tcPr>
            <w:tcW w:type="dxa" w:w="5040"/>
            <w:shd w:fill="D9EAF7"/>
          </w:tcPr>
          <w:p>
            <w:r>
              <w:rPr>
                <w:b/>
              </w:rPr>
              <w:t>Description</w:t>
            </w:r>
          </w:p>
        </w:tc>
      </w:tr>
      <w:tr>
        <w:tc>
          <w:tcPr>
            <w:tcW w:type="dxa" w:w="5040"/>
            <w:vAlign w:val="center"/>
          </w:tcPr>
          <w:p>
            <w:r>
              <w:t>1. Ingestion</w:t>
            </w:r>
          </w:p>
        </w:tc>
        <w:tc>
          <w:tcPr>
            <w:tcW w:type="dxa" w:w="5040"/>
            <w:vAlign w:val="center"/>
          </w:tcPr>
          <w:p>
            <w:r>
              <w:t>A new email event arrives through an API/webhook/connector.</w:t>
            </w:r>
          </w:p>
        </w:tc>
      </w:tr>
      <w:tr>
        <w:tc>
          <w:tcPr>
            <w:tcW w:type="dxa" w:w="5040"/>
            <w:vAlign w:val="center"/>
          </w:tcPr>
          <w:p>
            <w:r>
              <w:t>2. Validation</w:t>
            </w:r>
          </w:p>
        </w:tc>
        <w:tc>
          <w:tcPr>
            <w:tcW w:type="dxa" w:w="5040"/>
            <w:vAlign w:val="center"/>
          </w:tcPr>
          <w:p>
            <w:r>
              <w:t>The system verifies schema, event ID, source, and size limits.</w:t>
            </w:r>
          </w:p>
        </w:tc>
      </w:tr>
      <w:tr>
        <w:tc>
          <w:tcPr>
            <w:tcW w:type="dxa" w:w="5040"/>
            <w:vAlign w:val="center"/>
          </w:tcPr>
          <w:p>
            <w:r>
              <w:t>3. Normalization</w:t>
            </w:r>
          </w:p>
        </w:tc>
        <w:tc>
          <w:tcPr>
            <w:tcW w:type="dxa" w:w="5040"/>
            <w:vAlign w:val="center"/>
          </w:tcPr>
          <w:p>
            <w:r>
              <w:t>Headers, sender metadata, body text, and URLs are converted to a common schema.</w:t>
            </w:r>
          </w:p>
        </w:tc>
      </w:tr>
      <w:tr>
        <w:tc>
          <w:tcPr>
            <w:tcW w:type="dxa" w:w="5040"/>
            <w:vAlign w:val="center"/>
          </w:tcPr>
          <w:p>
            <w:r>
              <w:t>4. Fast security checks</w:t>
            </w:r>
          </w:p>
        </w:tc>
        <w:tc>
          <w:tcPr>
            <w:tcW w:type="dxa" w:w="5040"/>
            <w:vAlign w:val="center"/>
          </w:tcPr>
          <w:p>
            <w:r>
              <w:t>Rules and reputation enrichment run before expensive AI calls.</w:t>
            </w:r>
          </w:p>
        </w:tc>
      </w:tr>
      <w:tr>
        <w:tc>
          <w:tcPr>
            <w:tcW w:type="dxa" w:w="5040"/>
            <w:vAlign w:val="center"/>
          </w:tcPr>
          <w:p>
            <w:r>
              <w:t>5. AI analysis</w:t>
            </w:r>
          </w:p>
        </w:tc>
        <w:tc>
          <w:tcPr>
            <w:tcW w:type="dxa" w:w="5040"/>
            <w:vAlign w:val="center"/>
          </w:tcPr>
          <w:p>
            <w:r>
              <w:t>ML classification and structured LLM analysis produce independent signals.</w:t>
            </w:r>
          </w:p>
        </w:tc>
      </w:tr>
      <w:tr>
        <w:tc>
          <w:tcPr>
            <w:tcW w:type="dxa" w:w="5040"/>
            <w:vAlign w:val="center"/>
          </w:tcPr>
          <w:p>
            <w:r>
              <w:t>6. Decisioning</w:t>
            </w:r>
          </w:p>
        </w:tc>
        <w:tc>
          <w:tcPr>
            <w:tcW w:type="dxa" w:w="5040"/>
            <w:vAlign w:val="center"/>
          </w:tcPr>
          <w:p>
            <w:r>
              <w:t>Signals are combined into a risk score with confidence and reason codes.</w:t>
            </w:r>
          </w:p>
        </w:tc>
      </w:tr>
      <w:tr>
        <w:tc>
          <w:tcPr>
            <w:tcW w:type="dxa" w:w="5040"/>
            <w:vAlign w:val="center"/>
          </w:tcPr>
          <w:p>
            <w:r>
              <w:t>7. Routing</w:t>
            </w:r>
          </w:p>
        </w:tc>
        <w:tc>
          <w:tcPr>
            <w:tcW w:type="dxa" w:w="5040"/>
            <w:vAlign w:val="center"/>
          </w:tcPr>
          <w:p>
            <w:r>
              <w:t>Low-risk items can be labeled; medium-risk items enter human review; high-risk items generate a SOC alert.</w:t>
            </w:r>
          </w:p>
        </w:tc>
      </w:tr>
      <w:tr>
        <w:tc>
          <w:tcPr>
            <w:tcW w:type="dxa" w:w="5040"/>
            <w:vAlign w:val="center"/>
          </w:tcPr>
          <w:p>
            <w:r>
              <w:t>8. Feedback</w:t>
            </w:r>
          </w:p>
        </w:tc>
        <w:tc>
          <w:tcPr>
            <w:tcW w:type="dxa" w:w="5040"/>
            <w:vAlign w:val="center"/>
          </w:tcPr>
          <w:p>
            <w:r>
              <w:t>Analyst decisions become labeled feedback for evaluation and controlled improvement.</w:t>
            </w:r>
          </w:p>
        </w:tc>
      </w:tr>
    </w:tbl>
    <w:p>
      <w:pPr>
        <w:pStyle w:val="Heading1"/>
      </w:pPr>
      <w:r>
        <w:t>7. Decision Layer and Human-in-the-Loop Design</w:t>
      </w:r>
    </w:p>
    <w:p>
      <w:pPr>
        <w:jc w:val="center"/>
      </w:pPr>
      <w:r>
        <w:drawing>
          <wp:inline xmlns:a="http://schemas.openxmlformats.org/drawingml/2006/main" xmlns:pic="http://schemas.openxmlformats.org/drawingml/2006/picture">
            <wp:extent cx="6035040" cy="4818544"/>
            <wp:docPr id="2" name="Picture 2"/>
            <wp:cNvGraphicFramePr>
              <a:graphicFrameLocks noChangeAspect="1"/>
            </wp:cNvGraphicFramePr>
            <a:graphic>
              <a:graphicData uri="http://schemas.openxmlformats.org/drawingml/2006/picture">
                <pic:pic>
                  <pic:nvPicPr>
                    <pic:cNvPr id="0" name="decision_flow.png"/>
                    <pic:cNvPicPr/>
                  </pic:nvPicPr>
                  <pic:blipFill>
                    <a:blip r:embed="rId10"/>
                    <a:stretch>
                      <a:fillRect/>
                    </a:stretch>
                  </pic:blipFill>
                  <pic:spPr>
                    <a:xfrm>
                      <a:off x="0" y="0"/>
                      <a:ext cx="6035040" cy="4818544"/>
                    </a:xfrm>
                    <a:prstGeom prst="rect"/>
                  </pic:spPr>
                </pic:pic>
              </a:graphicData>
            </a:graphic>
          </wp:inline>
        </w:drawing>
      </w:r>
    </w:p>
    <w:p>
      <w:r>
        <w:t>Figure 2. Decision flow. Thresholds are policy parameters and should be calibrated using validation data rather than hard-coded from assumptions.</w:t>
      </w:r>
    </w:p>
    <w:p>
      <w:r>
        <w:t>The decision engine should not ask the LLM to make the final operational decision by itself. Instead, each signal is stored separately—for example, rule findings, ML probability, reputation result, LLM classification, and confidence. A policy layer then combines those signals. This improves explainability and makes the system easier to test.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Risk band</w:t>
            </w:r>
          </w:p>
        </w:tc>
        <w:tc>
          <w:tcPr>
            <w:tcW w:type="dxa" w:w="3360"/>
            <w:shd w:fill="D9EAF7"/>
          </w:tcPr>
          <w:p>
            <w:r>
              <w:rPr>
                <w:b/>
              </w:rPr>
              <w:t>Illustrative action</w:t>
            </w:r>
          </w:p>
        </w:tc>
        <w:tc>
          <w:tcPr>
            <w:tcW w:type="dxa" w:w="3360"/>
            <w:shd w:fill="D9EAF7"/>
          </w:tcPr>
          <w:p>
            <w:r>
              <w:rPr>
                <w:b/>
              </w:rPr>
              <w:t>Human control</w:t>
            </w:r>
          </w:p>
        </w:tc>
      </w:tr>
      <w:tr>
        <w:tc>
          <w:tcPr>
            <w:tcW w:type="dxa" w:w="3360"/>
            <w:vAlign w:val="center"/>
          </w:tcPr>
          <w:p>
            <w:r>
              <w:t>Low</w:t>
            </w:r>
          </w:p>
        </w:tc>
        <w:tc>
          <w:tcPr>
            <w:tcW w:type="dxa" w:w="3360"/>
            <w:vAlign w:val="center"/>
          </w:tcPr>
          <w:p>
            <w:r>
              <w:t>Label/classify and log</w:t>
            </w:r>
          </w:p>
        </w:tc>
        <w:tc>
          <w:tcPr>
            <w:tcW w:type="dxa" w:w="3360"/>
            <w:vAlign w:val="center"/>
          </w:tcPr>
          <w:p>
            <w:r>
              <w:t>Sampling-based quality review</w:t>
            </w:r>
          </w:p>
        </w:tc>
      </w:tr>
      <w:tr>
        <w:tc>
          <w:tcPr>
            <w:tcW w:type="dxa" w:w="3360"/>
            <w:vAlign w:val="center"/>
          </w:tcPr>
          <w:p>
            <w:r>
              <w:t>Medium</w:t>
            </w:r>
          </w:p>
        </w:tc>
        <w:tc>
          <w:tcPr>
            <w:tcW w:type="dxa" w:w="3360"/>
            <w:vAlign w:val="center"/>
          </w:tcPr>
          <w:p>
            <w:r>
              <w:t>Create review queue item</w:t>
            </w:r>
          </w:p>
        </w:tc>
        <w:tc>
          <w:tcPr>
            <w:tcW w:type="dxa" w:w="3360"/>
            <w:vAlign w:val="center"/>
          </w:tcPr>
          <w:p>
            <w:r>
              <w:t>Analyst approval required</w:t>
            </w:r>
          </w:p>
        </w:tc>
      </w:tr>
      <w:tr>
        <w:tc>
          <w:tcPr>
            <w:tcW w:type="dxa" w:w="3360"/>
            <w:vAlign w:val="center"/>
          </w:tcPr>
          <w:p>
            <w:r>
              <w:t>High</w:t>
            </w:r>
          </w:p>
        </w:tc>
        <w:tc>
          <w:tcPr>
            <w:tcW w:type="dxa" w:w="3360"/>
            <w:vAlign w:val="center"/>
          </w:tcPr>
          <w:p>
            <w:r>
              <w:t>Create SOC alert and restrict automated workflow actions</w:t>
            </w:r>
          </w:p>
        </w:tc>
        <w:tc>
          <w:tcPr>
            <w:tcW w:type="dxa" w:w="3360"/>
            <w:vAlign w:val="center"/>
          </w:tcPr>
          <w:p>
            <w:r>
              <w:t>Analyst approval before consequential action</w:t>
            </w:r>
          </w:p>
        </w:tc>
      </w:tr>
    </w:tbl>
    <w:p>
      <w:pPr>
        <w:pStyle w:val="Heading1"/>
      </w:pPr>
      <w:r>
        <w:t>8. AI / Algorithm Selection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Module</w:t>
            </w:r>
          </w:p>
        </w:tc>
        <w:tc>
          <w:tcPr>
            <w:tcW w:type="dxa" w:w="3360"/>
            <w:shd w:fill="D9EAF7"/>
          </w:tcPr>
          <w:p>
            <w:r>
              <w:rPr>
                <w:b/>
              </w:rPr>
              <w:t>Proposed approach</w:t>
            </w:r>
          </w:p>
        </w:tc>
        <w:tc>
          <w:tcPr>
            <w:tcW w:type="dxa" w:w="3360"/>
            <w:shd w:fill="D9EAF7"/>
          </w:tcPr>
          <w:p>
            <w:r>
              <w:rPr>
                <w:b/>
              </w:rPr>
              <w:t>Reasoning</w:t>
            </w:r>
          </w:p>
        </w:tc>
      </w:tr>
      <w:tr>
        <w:tc>
          <w:tcPr>
            <w:tcW w:type="dxa" w:w="3360"/>
            <w:vAlign w:val="center"/>
          </w:tcPr>
          <w:p>
            <w:r>
              <w:t>Baseline rules</w:t>
            </w:r>
          </w:p>
        </w:tc>
        <w:tc>
          <w:tcPr>
            <w:tcW w:type="dxa" w:w="3360"/>
            <w:vAlign w:val="center"/>
          </w:tcPr>
          <w:p>
            <w:r>
              <w:t>Deterministic rules / pattern checks</w:t>
            </w:r>
          </w:p>
        </w:tc>
        <w:tc>
          <w:tcPr>
            <w:tcW w:type="dxa" w:w="3360"/>
            <w:vAlign w:val="center"/>
          </w:tcPr>
          <w:p>
            <w:r>
              <w:t>Fast, explainable, and useful for obvious indicators.</w:t>
            </w:r>
          </w:p>
        </w:tc>
      </w:tr>
      <w:tr>
        <w:tc>
          <w:tcPr>
            <w:tcW w:type="dxa" w:w="3360"/>
            <w:vAlign w:val="center"/>
          </w:tcPr>
          <w:p>
            <w:r>
              <w:t>Primary classifier</w:t>
            </w:r>
          </w:p>
        </w:tc>
        <w:tc>
          <w:tcPr>
            <w:tcW w:type="dxa" w:w="3360"/>
            <w:vAlign w:val="center"/>
          </w:tcPr>
          <w:p>
            <w:r>
              <w:t>Supervised text classifier such as logistic regression/gradient boosting over engineered features, or a compact transformer when data supports it</w:t>
            </w:r>
          </w:p>
        </w:tc>
        <w:tc>
          <w:tcPr>
            <w:tcW w:type="dxa" w:w="3360"/>
            <w:vAlign w:val="center"/>
          </w:tcPr>
          <w:p>
            <w:r>
              <w:t>Provides a measurable baseline and can be evaluated with precision/recall/F1.</w:t>
            </w:r>
          </w:p>
        </w:tc>
      </w:tr>
      <w:tr>
        <w:tc>
          <w:tcPr>
            <w:tcW w:type="dxa" w:w="3360"/>
            <w:vAlign w:val="center"/>
          </w:tcPr>
          <w:p>
            <w:r>
              <w:t>LLM layer</w:t>
            </w:r>
          </w:p>
        </w:tc>
        <w:tc>
          <w:tcPr>
            <w:tcW w:type="dxa" w:w="3360"/>
            <w:vAlign w:val="center"/>
          </w:tcPr>
          <w:p>
            <w:r>
              <w:t>Structured prompt with constrained JSON output</w:t>
            </w:r>
          </w:p>
        </w:tc>
        <w:tc>
          <w:tcPr>
            <w:tcW w:type="dxa" w:w="3360"/>
            <w:vAlign w:val="center"/>
          </w:tcPr>
          <w:p>
            <w:r>
              <w:t>Adds semantic context and concise evidence; not used as the sole authority.</w:t>
            </w:r>
          </w:p>
        </w:tc>
      </w:tr>
      <w:tr>
        <w:tc>
          <w:tcPr>
            <w:tcW w:type="dxa" w:w="3360"/>
            <w:vAlign w:val="center"/>
          </w:tcPr>
          <w:p>
            <w:r>
              <w:t>Risk scoring</w:t>
            </w:r>
          </w:p>
        </w:tc>
        <w:tc>
          <w:tcPr>
            <w:tcW w:type="dxa" w:w="3360"/>
            <w:vAlign w:val="center"/>
          </w:tcPr>
          <w:p>
            <w:r>
              <w:t>Weighted/learned ensemble or calibrated probability model</w:t>
            </w:r>
          </w:p>
        </w:tc>
        <w:tc>
          <w:tcPr>
            <w:tcW w:type="dxa" w:w="3360"/>
            <w:vAlign w:val="center"/>
          </w:tcPr>
          <w:p>
            <w:r>
              <w:t>Combines heterogeneous signals and allows policy control.</w:t>
            </w:r>
          </w:p>
        </w:tc>
      </w:tr>
      <w:tr>
        <w:tc>
          <w:tcPr>
            <w:tcW w:type="dxa" w:w="3360"/>
            <w:vAlign w:val="center"/>
          </w:tcPr>
          <w:p>
            <w:r>
              <w:t>Feedback learning</w:t>
            </w:r>
          </w:p>
        </w:tc>
        <w:tc>
          <w:tcPr>
            <w:tcW w:type="dxa" w:w="3360"/>
            <w:vAlign w:val="center"/>
          </w:tcPr>
          <w:p>
            <w:r>
              <w:t>Periodic retraining/evaluation from reviewed cases</w:t>
            </w:r>
          </w:p>
        </w:tc>
        <w:tc>
          <w:tcPr>
            <w:tcW w:type="dxa" w:w="3360"/>
            <w:vAlign w:val="center"/>
          </w:tcPr>
          <w:p>
            <w:r>
              <w:t>Reduces drift and improves performance over time.</w:t>
            </w:r>
          </w:p>
        </w:tc>
      </w:tr>
    </w:tbl>
    <w:p>
      <w:pPr>
        <w:pStyle w:val="Heading2"/>
      </w:pPr>
      <w:r>
        <w:t>8.1 Why not use only an LLM?</w:t>
      </w:r>
    </w:p>
    <w:p>
      <w:pPr>
        <w:pStyle w:val="ListBullet"/>
      </w:pPr>
      <w:r>
        <w:t>LLMs can produce confident but incorrect outputs, so independent signals are valuable.</w:t>
      </w:r>
    </w:p>
    <w:p>
      <w:pPr>
        <w:pStyle w:val="ListBullet"/>
      </w:pPr>
      <w:r>
        <w:t>Rules are cheaper and faster for simple cases.</w:t>
      </w:r>
    </w:p>
    <w:p>
      <w:pPr>
        <w:pStyle w:val="ListBullet"/>
      </w:pPr>
      <w:r>
        <w:t>A separate decision engine makes policy auditable.</w:t>
      </w:r>
    </w:p>
    <w:p>
      <w:pPr>
        <w:pStyle w:val="ListBullet"/>
      </w:pPr>
      <w:r>
        <w:t>Human approval reduces the impact of false positives/false negatives.</w:t>
      </w:r>
    </w:p>
    <w:p>
      <w:pPr>
        <w:pStyle w:val="ListBullet"/>
      </w:pPr>
      <w:r>
        <w:t>Model and prompt versions can be evaluated independently.</w:t>
      </w:r>
    </w:p>
    <w:p>
      <w:pPr>
        <w:pStyle w:val="Heading1"/>
      </w:pPr>
      <w:r>
        <w:t>9. Integration Strategy</w:t>
      </w:r>
    </w:p>
    <w:p>
      <w:r>
        <w:t>The architecture uses an API-first and event-driven integration style. Each service exposes a narrow contract and does not directly manipulate another service's internal storage.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Integration point</w:t>
            </w:r>
          </w:p>
        </w:tc>
        <w:tc>
          <w:tcPr>
            <w:tcW w:type="dxa" w:w="3360"/>
            <w:shd w:fill="D9EAF7"/>
          </w:tcPr>
          <w:p>
            <w:r>
              <w:rPr>
                <w:b/>
              </w:rPr>
              <w:t>Method</w:t>
            </w:r>
          </w:p>
        </w:tc>
        <w:tc>
          <w:tcPr>
            <w:tcW w:type="dxa" w:w="3360"/>
            <w:shd w:fill="D9EAF7"/>
          </w:tcPr>
          <w:p>
            <w:r>
              <w:rPr>
                <w:b/>
              </w:rPr>
              <w:t>Reliability control</w:t>
            </w:r>
          </w:p>
        </w:tc>
      </w:tr>
      <w:tr>
        <w:tc>
          <w:tcPr>
            <w:tcW w:type="dxa" w:w="3360"/>
            <w:vAlign w:val="center"/>
          </w:tcPr>
          <w:p>
            <w:r>
              <w:t>Email → ingestion</w:t>
            </w:r>
          </w:p>
        </w:tc>
        <w:tc>
          <w:tcPr>
            <w:tcW w:type="dxa" w:w="3360"/>
            <w:vAlign w:val="center"/>
          </w:tcPr>
          <w:p>
            <w:r>
              <w:t>Webhook/API or scheduled connector</w:t>
            </w:r>
          </w:p>
        </w:tc>
        <w:tc>
          <w:tcPr>
            <w:tcW w:type="dxa" w:w="3360"/>
            <w:vAlign w:val="center"/>
          </w:tcPr>
          <w:p>
            <w:r>
              <w:t>Idempotency key + schema validation</w:t>
            </w:r>
          </w:p>
        </w:tc>
      </w:tr>
      <w:tr>
        <w:tc>
          <w:tcPr>
            <w:tcW w:type="dxa" w:w="3360"/>
            <w:vAlign w:val="center"/>
          </w:tcPr>
          <w:p>
            <w:r>
              <w:t>Orchestrator → AI services</w:t>
            </w:r>
          </w:p>
        </w:tc>
        <w:tc>
          <w:tcPr>
            <w:tcW w:type="dxa" w:w="3360"/>
            <w:vAlign w:val="center"/>
          </w:tcPr>
          <w:p>
            <w:r>
              <w:t>HTTPS API</w:t>
            </w:r>
          </w:p>
        </w:tc>
        <w:tc>
          <w:tcPr>
            <w:tcW w:type="dxa" w:w="3360"/>
            <w:vAlign w:val="center"/>
          </w:tcPr>
          <w:p>
            <w:r>
              <w:t>Timeouts + retries + rate limits</w:t>
            </w:r>
          </w:p>
        </w:tc>
      </w:tr>
      <w:tr>
        <w:tc>
          <w:tcPr>
            <w:tcW w:type="dxa" w:w="3360"/>
            <w:vAlign w:val="center"/>
          </w:tcPr>
          <w:p>
            <w:r>
              <w:t>AI → decision engine</w:t>
            </w:r>
          </w:p>
        </w:tc>
        <w:tc>
          <w:tcPr>
            <w:tcW w:type="dxa" w:w="3360"/>
            <w:vAlign w:val="center"/>
          </w:tcPr>
          <w:p>
            <w:r>
              <w:t>Structured JSON contract</w:t>
            </w:r>
          </w:p>
        </w:tc>
        <w:tc>
          <w:tcPr>
            <w:tcW w:type="dxa" w:w="3360"/>
            <w:vAlign w:val="center"/>
          </w:tcPr>
          <w:p>
            <w:r>
              <w:t>Schema validation + confidence checks</w:t>
            </w:r>
          </w:p>
        </w:tc>
      </w:tr>
      <w:tr>
        <w:tc>
          <w:tcPr>
            <w:tcW w:type="dxa" w:w="3360"/>
            <w:vAlign w:val="center"/>
          </w:tcPr>
          <w:p>
            <w:r>
              <w:t>Decision engine → review queue</w:t>
            </w:r>
          </w:p>
        </w:tc>
        <w:tc>
          <w:tcPr>
            <w:tcW w:type="dxa" w:w="3360"/>
            <w:vAlign w:val="center"/>
          </w:tcPr>
          <w:p>
            <w:r>
              <w:t>API/event</w:t>
            </w:r>
          </w:p>
        </w:tc>
        <w:tc>
          <w:tcPr>
            <w:tcW w:type="dxa" w:w="3360"/>
            <w:vAlign w:val="center"/>
          </w:tcPr>
          <w:p>
            <w:r>
              <w:t>Unique case ID + durable queue</w:t>
            </w:r>
          </w:p>
        </w:tc>
      </w:tr>
      <w:tr>
        <w:tc>
          <w:tcPr>
            <w:tcW w:type="dxa" w:w="3360"/>
            <w:vAlign w:val="center"/>
          </w:tcPr>
          <w:p>
            <w:r>
              <w:t>System → monitoring</w:t>
            </w:r>
          </w:p>
        </w:tc>
        <w:tc>
          <w:tcPr>
            <w:tcW w:type="dxa" w:w="3360"/>
            <w:vAlign w:val="center"/>
          </w:tcPr>
          <w:p>
            <w:r>
              <w:t>Logs/metrics/events</w:t>
            </w:r>
          </w:p>
        </w:tc>
        <w:tc>
          <w:tcPr>
            <w:tcW w:type="dxa" w:w="3360"/>
            <w:vAlign w:val="center"/>
          </w:tcPr>
          <w:p>
            <w:r>
              <w:t>Centralized correlation ID</w:t>
            </w:r>
          </w:p>
        </w:tc>
      </w:tr>
      <w:tr>
        <w:tc>
          <w:tcPr>
            <w:tcW w:type="dxa" w:w="3360"/>
            <w:vAlign w:val="center"/>
          </w:tcPr>
          <w:p>
            <w:r>
              <w:t>Analyst → feedback store</w:t>
            </w:r>
          </w:p>
        </w:tc>
        <w:tc>
          <w:tcPr>
            <w:tcW w:type="dxa" w:w="3360"/>
            <w:vAlign w:val="center"/>
          </w:tcPr>
          <w:p>
            <w:r>
              <w:t>UI/API</w:t>
            </w:r>
          </w:p>
        </w:tc>
        <w:tc>
          <w:tcPr>
            <w:tcW w:type="dxa" w:w="3360"/>
            <w:vAlign w:val="center"/>
          </w:tcPr>
          <w:p>
            <w:r>
              <w:t>Role-based access + audit trail</w:t>
            </w:r>
          </w:p>
        </w:tc>
      </w:tr>
    </w:tbl>
    <w:p>
      <w:pPr>
        <w:pStyle w:val="Heading2"/>
      </w:pPr>
      <w:r>
        <w:t>9.1 Common event schema</w:t>
      </w:r>
    </w:p>
    <w:p>
      <w:r>
        <w:t>A canonical event could contain: event_id, timestamp, source, sender, recipient_hash, subject_hash, body_reference, urls[], rule_findings[], ml_score, llm_label, llm_confidence, reputation_findings[], final_risk, decision_reason_codes, model_version, prompt_version, analyst_outcome. Sensitive raw email content should be minimized and protected.</w:t>
      </w:r>
    </w:p>
    <w:p>
      <w:pPr>
        <w:pStyle w:val="Heading1"/>
      </w:pPr>
      <w:r>
        <w:t>10. Scalability, Modularity and Robustness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Concern</w:t>
            </w:r>
          </w:p>
        </w:tc>
        <w:tc>
          <w:tcPr>
            <w:tcW w:type="dxa" w:w="3360"/>
            <w:shd w:fill="D9EAF7"/>
          </w:tcPr>
          <w:p>
            <w:r>
              <w:rPr>
                <w:b/>
              </w:rPr>
              <w:t>Architecture decision</w:t>
            </w:r>
          </w:p>
        </w:tc>
        <w:tc>
          <w:tcPr>
            <w:tcW w:type="dxa" w:w="3360"/>
            <w:shd w:fill="D9EAF7"/>
          </w:tcPr>
          <w:p>
            <w:r>
              <w:rPr>
                <w:b/>
              </w:rPr>
              <w:t>Benefit</w:t>
            </w:r>
          </w:p>
        </w:tc>
      </w:tr>
      <w:tr>
        <w:tc>
          <w:tcPr>
            <w:tcW w:type="dxa" w:w="3360"/>
            <w:vAlign w:val="center"/>
          </w:tcPr>
          <w:p>
            <w:r>
              <w:t>Traffic spikes</w:t>
            </w:r>
          </w:p>
        </w:tc>
        <w:tc>
          <w:tcPr>
            <w:tcW w:type="dxa" w:w="3360"/>
            <w:vAlign w:val="center"/>
          </w:tcPr>
          <w:p>
            <w:r>
              <w:t>Queue-based ingestion and independently scalable workers</w:t>
            </w:r>
          </w:p>
        </w:tc>
        <w:tc>
          <w:tcPr>
            <w:tcW w:type="dxa" w:w="3360"/>
            <w:vAlign w:val="center"/>
          </w:tcPr>
          <w:p>
            <w:r>
              <w:t>Absorbs bursts without dropping events.</w:t>
            </w:r>
          </w:p>
        </w:tc>
      </w:tr>
      <w:tr>
        <w:tc>
          <w:tcPr>
            <w:tcW w:type="dxa" w:w="3360"/>
            <w:vAlign w:val="center"/>
          </w:tcPr>
          <w:p>
            <w:r>
              <w:t>Slow AI provider</w:t>
            </w:r>
          </w:p>
        </w:tc>
        <w:tc>
          <w:tcPr>
            <w:tcW w:type="dxa" w:w="3360"/>
            <w:vAlign w:val="center"/>
          </w:tcPr>
          <w:p>
            <w:r>
              <w:t>Async processing + timeout + retry + fallback</w:t>
            </w:r>
          </w:p>
        </w:tc>
        <w:tc>
          <w:tcPr>
            <w:tcW w:type="dxa" w:w="3360"/>
            <w:vAlign w:val="center"/>
          </w:tcPr>
          <w:p>
            <w:r>
              <w:t>Prevents one dependency from blocking the whole pipeline.</w:t>
            </w:r>
          </w:p>
        </w:tc>
      </w:tr>
      <w:tr>
        <w:tc>
          <w:tcPr>
            <w:tcW w:type="dxa" w:w="3360"/>
            <w:vAlign w:val="center"/>
          </w:tcPr>
          <w:p>
            <w:r>
              <w:t>Provider change</w:t>
            </w:r>
          </w:p>
        </w:tc>
        <w:tc>
          <w:tcPr>
            <w:tcW w:type="dxa" w:w="3360"/>
            <w:vAlign w:val="center"/>
          </w:tcPr>
          <w:p>
            <w:r>
              <w:t>Adapter interfaces for email/reputation/LLM providers</w:t>
            </w:r>
          </w:p>
        </w:tc>
        <w:tc>
          <w:tcPr>
            <w:tcW w:type="dxa" w:w="3360"/>
            <w:vAlign w:val="center"/>
          </w:tcPr>
          <w:p>
            <w:r>
              <w:t>Reduces vendor lock-in.</w:t>
            </w:r>
          </w:p>
        </w:tc>
      </w:tr>
      <w:tr>
        <w:tc>
          <w:tcPr>
            <w:tcW w:type="dxa" w:w="3360"/>
            <w:vAlign w:val="center"/>
          </w:tcPr>
          <w:p>
            <w:r>
              <w:t>Model upgrade</w:t>
            </w:r>
          </w:p>
        </w:tc>
        <w:tc>
          <w:tcPr>
            <w:tcW w:type="dxa" w:w="3360"/>
            <w:vAlign w:val="center"/>
          </w:tcPr>
          <w:p>
            <w:r>
              <w:t>Model registry + versioned deployment</w:t>
            </w:r>
          </w:p>
        </w:tc>
        <w:tc>
          <w:tcPr>
            <w:tcW w:type="dxa" w:w="3360"/>
            <w:vAlign w:val="center"/>
          </w:tcPr>
          <w:p>
            <w:r>
              <w:t>Allows rollback and A/B or shadow evaluation.</w:t>
            </w:r>
          </w:p>
        </w:tc>
      </w:tr>
      <w:tr>
        <w:tc>
          <w:tcPr>
            <w:tcW w:type="dxa" w:w="3360"/>
            <w:vAlign w:val="center"/>
          </w:tcPr>
          <w:p>
            <w:r>
              <w:t>Duplicate events</w:t>
            </w:r>
          </w:p>
        </w:tc>
        <w:tc>
          <w:tcPr>
            <w:tcW w:type="dxa" w:w="3360"/>
            <w:vAlign w:val="center"/>
          </w:tcPr>
          <w:p>
            <w:r>
              <w:t>Idempotency keys and event IDs</w:t>
            </w:r>
          </w:p>
        </w:tc>
        <w:tc>
          <w:tcPr>
            <w:tcW w:type="dxa" w:w="3360"/>
            <w:vAlign w:val="center"/>
          </w:tcPr>
          <w:p>
            <w:r>
              <w:t>Prevents duplicate cases/actions.</w:t>
            </w:r>
          </w:p>
        </w:tc>
      </w:tr>
      <w:tr>
        <w:tc>
          <w:tcPr>
            <w:tcW w:type="dxa" w:w="3360"/>
            <w:vAlign w:val="center"/>
          </w:tcPr>
          <w:p>
            <w:r>
              <w:t>Bad payload</w:t>
            </w:r>
          </w:p>
        </w:tc>
        <w:tc>
          <w:tcPr>
            <w:tcW w:type="dxa" w:w="3360"/>
            <w:vAlign w:val="center"/>
          </w:tcPr>
          <w:p>
            <w:r>
              <w:t>Schema validation + dead-letter queue</w:t>
            </w:r>
          </w:p>
        </w:tc>
        <w:tc>
          <w:tcPr>
            <w:tcW w:type="dxa" w:w="3360"/>
            <w:vAlign w:val="center"/>
          </w:tcPr>
          <w:p>
            <w:r>
              <w:t>Isolates malformed events.</w:t>
            </w:r>
          </w:p>
        </w:tc>
      </w:tr>
      <w:tr>
        <w:tc>
          <w:tcPr>
            <w:tcW w:type="dxa" w:w="3360"/>
            <w:vAlign w:val="center"/>
          </w:tcPr>
          <w:p>
            <w:r>
              <w:t>Service outage</w:t>
            </w:r>
          </w:p>
        </w:tc>
        <w:tc>
          <w:tcPr>
            <w:tcW w:type="dxa" w:w="3360"/>
            <w:vAlign w:val="center"/>
          </w:tcPr>
          <w:p>
            <w:r>
              <w:t>Health checks + graceful degradation</w:t>
            </w:r>
          </w:p>
        </w:tc>
        <w:tc>
          <w:tcPr>
            <w:tcW w:type="dxa" w:w="3360"/>
            <w:vAlign w:val="center"/>
          </w:tcPr>
          <w:p>
            <w:r>
              <w:t>Keeps deterministic checks available.</w:t>
            </w:r>
          </w:p>
        </w:tc>
      </w:tr>
      <w:tr>
        <w:tc>
          <w:tcPr>
            <w:tcW w:type="dxa" w:w="3360"/>
            <w:vAlign w:val="center"/>
          </w:tcPr>
          <w:p>
            <w:r>
              <w:t>Data growth</w:t>
            </w:r>
          </w:p>
        </w:tc>
        <w:tc>
          <w:tcPr>
            <w:tcW w:type="dxa" w:w="3360"/>
            <w:vAlign w:val="center"/>
          </w:tcPr>
          <w:p>
            <w:r>
              <w:t>Separate operational DB, object storage, and analytics store</w:t>
            </w:r>
          </w:p>
        </w:tc>
        <w:tc>
          <w:tcPr>
            <w:tcW w:type="dxa" w:w="3360"/>
            <w:vAlign w:val="center"/>
          </w:tcPr>
          <w:p>
            <w:r>
              <w:t>Avoids one database becoming a bottleneck.</w:t>
            </w:r>
          </w:p>
        </w:tc>
      </w:tr>
    </w:tbl>
    <w:p>
      <w:pPr>
        <w:pStyle w:val="Heading1"/>
      </w:pPr>
      <w:r>
        <w:t>11. Security and Responsible AI Controls</w:t>
      </w:r>
    </w:p>
    <w:p>
      <w:pPr>
        <w:pStyle w:val="ListBullet"/>
      </w:pPr>
      <w:r>
        <w:t>Use least-privilege service accounts and role-based access control.</w:t>
      </w:r>
    </w:p>
    <w:p>
      <w:pPr>
        <w:pStyle w:val="ListBullet"/>
      </w:pPr>
      <w:r>
        <w:t>Store API keys and OAuth secrets in a dedicated secrets manager; never hard-code them.</w:t>
      </w:r>
    </w:p>
    <w:p>
      <w:pPr>
        <w:pStyle w:val="ListBullet"/>
      </w:pPr>
      <w:r>
        <w:t>Encrypt sensitive data in transit and at rest.</w:t>
      </w:r>
    </w:p>
    <w:p>
      <w:pPr>
        <w:pStyle w:val="ListBullet"/>
      </w:pPr>
      <w:r>
        <w:t>Minimize retention of raw email bodies and personally identifiable information.</w:t>
      </w:r>
    </w:p>
    <w:p>
      <w:pPr>
        <w:pStyle w:val="ListBullet"/>
      </w:pPr>
      <w:r>
        <w:t>Treat email content as untrusted input to reduce prompt-injection risk.</w:t>
      </w:r>
    </w:p>
    <w:p>
      <w:pPr>
        <w:pStyle w:val="ListBullet"/>
      </w:pPr>
      <w:r>
        <w:t>Never allow email text to override system/developer instructions or tool permissions.</w:t>
      </w:r>
    </w:p>
    <w:p>
      <w:pPr>
        <w:pStyle w:val="ListBullet"/>
      </w:pPr>
      <w:r>
        <w:t>Validate LLM output against a strict schema before using it downstream.</w:t>
      </w:r>
    </w:p>
    <w:p>
      <w:pPr>
        <w:pStyle w:val="ListBullet"/>
      </w:pPr>
      <w:r>
        <w:t>Keep audit logs for security-relevant decisions without unnecessarily copying sensitive content.</w:t>
      </w:r>
    </w:p>
    <w:p>
      <w:pPr>
        <w:pStyle w:val="ListBullet"/>
      </w:pPr>
      <w:r>
        <w:t>Require human approval before consequential external actions.</w:t>
      </w:r>
    </w:p>
    <w:p>
      <w:pPr>
        <w:pStyle w:val="ListBullet"/>
      </w:pPr>
      <w:r>
        <w:t>Regularly test false positives, false negatives, drift, latency, and failure recovery.</w:t>
      </w:r>
    </w:p>
    <w:p>
      <w:r>
        <w:t xml:space="preserve">These controls align with NIST's emphasis on trustworthy, secure, resilient, accountable, explainable, and privacy-enhanced AI. </w:t>
      </w:r>
      <w:r>
        <w:t xml:space="preserve"> (NIST AI RMF 1.0)</w:t>
      </w:r>
    </w:p>
    <w:p>
      <w:pPr>
        <w:pStyle w:val="Heading1"/>
      </w:pPr>
      <w:r>
        <w:t>12. MLOps and Continuous Improvement</w:t>
      </w:r>
    </w:p>
    <w:p>
      <w:pPr>
        <w:jc w:val="center"/>
      </w:pPr>
      <w:r>
        <w:drawing>
          <wp:inline xmlns:a="http://schemas.openxmlformats.org/drawingml/2006/main" xmlns:pic="http://schemas.openxmlformats.org/drawingml/2006/picture">
            <wp:extent cx="6400800" cy="2878891"/>
            <wp:docPr id="3" name="Picture 3"/>
            <wp:cNvGraphicFramePr>
              <a:graphicFrameLocks noChangeAspect="1"/>
            </wp:cNvGraphicFramePr>
            <a:graphic>
              <a:graphicData uri="http://schemas.openxmlformats.org/drawingml/2006/picture">
                <pic:pic>
                  <pic:nvPicPr>
                    <pic:cNvPr id="0" name="mlops_lifecycle.png"/>
                    <pic:cNvPicPr/>
                  </pic:nvPicPr>
                  <pic:blipFill>
                    <a:blip r:embed="rId11"/>
                    <a:stretch>
                      <a:fillRect/>
                    </a:stretch>
                  </pic:blipFill>
                  <pic:spPr>
                    <a:xfrm>
                      <a:off x="0" y="0"/>
                      <a:ext cx="6400800" cy="2878891"/>
                    </a:xfrm>
                    <a:prstGeom prst="rect"/>
                  </pic:spPr>
                </pic:pic>
              </a:graphicData>
            </a:graphic>
          </wp:inline>
        </w:drawing>
      </w:r>
    </w:p>
    <w:p>
      <w:r>
        <w:t>Figure 3. Lifecycle for controlled improvement. Analyst feedback is treated as evaluation data, not automatically as permission to retrain and deploy a new model.</w:t>
      </w:r>
    </w:p>
    <w:p>
      <w:pPr>
        <w:pStyle w:val="Heading2"/>
      </w:pPr>
      <w:r>
        <w:t>12.1 Monitoring metrics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Metric</w:t>
            </w:r>
          </w:p>
        </w:tc>
        <w:tc>
          <w:tcPr>
            <w:tcW w:type="dxa" w:w="5040"/>
            <w:shd w:fill="D9EAF7"/>
          </w:tcPr>
          <w:p>
            <w:r>
              <w:rPr>
                <w:b/>
              </w:rPr>
              <w:t>Purpose</w:t>
            </w:r>
          </w:p>
        </w:tc>
      </w:tr>
      <w:tr>
        <w:tc>
          <w:tcPr>
            <w:tcW w:type="dxa" w:w="5040"/>
            <w:vAlign w:val="center"/>
          </w:tcPr>
          <w:p>
            <w:r>
              <w:t>Precision / Recall / F1</w:t>
            </w:r>
          </w:p>
        </w:tc>
        <w:tc>
          <w:tcPr>
            <w:tcW w:type="dxa" w:w="5040"/>
            <w:vAlign w:val="center"/>
          </w:tcPr>
          <w:p>
            <w:r>
              <w:t>Measure classification quality.</w:t>
            </w:r>
          </w:p>
        </w:tc>
      </w:tr>
      <w:tr>
        <w:tc>
          <w:tcPr>
            <w:tcW w:type="dxa" w:w="5040"/>
            <w:vAlign w:val="center"/>
          </w:tcPr>
          <w:p>
            <w:r>
              <w:t>False positive rate</w:t>
            </w:r>
          </w:p>
        </w:tc>
        <w:tc>
          <w:tcPr>
            <w:tcW w:type="dxa" w:w="5040"/>
            <w:vAlign w:val="center"/>
          </w:tcPr>
          <w:p>
            <w:r>
              <w:t>Detect excessive analyst workload.</w:t>
            </w:r>
          </w:p>
        </w:tc>
      </w:tr>
      <w:tr>
        <w:tc>
          <w:tcPr>
            <w:tcW w:type="dxa" w:w="5040"/>
            <w:vAlign w:val="center"/>
          </w:tcPr>
          <w:p>
            <w:r>
              <w:t>False negative rate</w:t>
            </w:r>
          </w:p>
        </w:tc>
        <w:tc>
          <w:tcPr>
            <w:tcW w:type="dxa" w:w="5040"/>
            <w:vAlign w:val="center"/>
          </w:tcPr>
          <w:p>
            <w:r>
              <w:t>Detect missed suspicious messages.</w:t>
            </w:r>
          </w:p>
        </w:tc>
      </w:tr>
      <w:tr>
        <w:tc>
          <w:tcPr>
            <w:tcW w:type="dxa" w:w="5040"/>
            <w:vAlign w:val="center"/>
          </w:tcPr>
          <w:p>
            <w:r>
              <w:t>Calibration / confidence quality</w:t>
            </w:r>
          </w:p>
        </w:tc>
        <w:tc>
          <w:tcPr>
            <w:tcW w:type="dxa" w:w="5040"/>
            <w:vAlign w:val="center"/>
          </w:tcPr>
          <w:p>
            <w:r>
              <w:t>Check whether confidence reflects actual correctness.</w:t>
            </w:r>
          </w:p>
        </w:tc>
      </w:tr>
      <w:tr>
        <w:tc>
          <w:tcPr>
            <w:tcW w:type="dxa" w:w="5040"/>
            <w:vAlign w:val="center"/>
          </w:tcPr>
          <w:p>
            <w:r>
              <w:t>Latency p50/p95</w:t>
            </w:r>
          </w:p>
        </w:tc>
        <w:tc>
          <w:tcPr>
            <w:tcW w:type="dxa" w:w="5040"/>
            <w:vAlign w:val="center"/>
          </w:tcPr>
          <w:p>
            <w:r>
              <w:t>Monitor user and workflow experience.</w:t>
            </w:r>
          </w:p>
        </w:tc>
      </w:tr>
      <w:tr>
        <w:tc>
          <w:tcPr>
            <w:tcW w:type="dxa" w:w="5040"/>
            <w:vAlign w:val="center"/>
          </w:tcPr>
          <w:p>
            <w:r>
              <w:t>AI/API error rate</w:t>
            </w:r>
          </w:p>
        </w:tc>
        <w:tc>
          <w:tcPr>
            <w:tcW w:type="dxa" w:w="5040"/>
            <w:vAlign w:val="center"/>
          </w:tcPr>
          <w:p>
            <w:r>
              <w:t>Detect dependency or integration failures.</w:t>
            </w:r>
          </w:p>
        </w:tc>
      </w:tr>
      <w:tr>
        <w:tc>
          <w:tcPr>
            <w:tcW w:type="dxa" w:w="5040"/>
            <w:vAlign w:val="center"/>
          </w:tcPr>
          <w:p>
            <w:r>
              <w:t>Queue depth</w:t>
            </w:r>
          </w:p>
        </w:tc>
        <w:tc>
          <w:tcPr>
            <w:tcW w:type="dxa" w:w="5040"/>
            <w:vAlign w:val="center"/>
          </w:tcPr>
          <w:p>
            <w:r>
              <w:t>Detect processing bottlenecks.</w:t>
            </w:r>
          </w:p>
        </w:tc>
      </w:tr>
      <w:tr>
        <w:tc>
          <w:tcPr>
            <w:tcW w:type="dxa" w:w="5040"/>
            <w:vAlign w:val="center"/>
          </w:tcPr>
          <w:p>
            <w:r>
              <w:t>Drift indicators</w:t>
            </w:r>
          </w:p>
        </w:tc>
        <w:tc>
          <w:tcPr>
            <w:tcW w:type="dxa" w:w="5040"/>
            <w:vAlign w:val="center"/>
          </w:tcPr>
          <w:p>
            <w:r>
              <w:t>Detect changes in message patterns or feature distributions.</w:t>
            </w:r>
          </w:p>
        </w:tc>
      </w:tr>
      <w:tr>
        <w:tc>
          <w:tcPr>
            <w:tcW w:type="dxa" w:w="5040"/>
            <w:vAlign w:val="center"/>
          </w:tcPr>
          <w:p>
            <w:r>
              <w:t>Analyst override rate</w:t>
            </w:r>
          </w:p>
        </w:tc>
        <w:tc>
          <w:tcPr>
            <w:tcW w:type="dxa" w:w="5040"/>
            <w:vAlign w:val="center"/>
          </w:tcPr>
          <w:p>
            <w:r>
              <w:t>Identify weak decision thresholds or model behavior.</w:t>
            </w:r>
          </w:p>
        </w:tc>
      </w:tr>
    </w:tbl>
    <w:p>
      <w:pPr>
        <w:pStyle w:val="Heading1"/>
      </w:pPr>
      <w:r>
        <w:t>13. Failure Scenarios and Recovery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Failure</w:t>
            </w:r>
          </w:p>
        </w:tc>
        <w:tc>
          <w:tcPr>
            <w:tcW w:type="dxa" w:w="3360"/>
            <w:shd w:fill="D9EAF7"/>
          </w:tcPr>
          <w:p>
            <w:r>
              <w:rPr>
                <w:b/>
              </w:rPr>
              <w:t>Expected behavior</w:t>
            </w:r>
          </w:p>
        </w:tc>
        <w:tc>
          <w:tcPr>
            <w:tcW w:type="dxa" w:w="3360"/>
            <w:shd w:fill="D9EAF7"/>
          </w:tcPr>
          <w:p>
            <w:r>
              <w:rPr>
                <w:b/>
              </w:rPr>
              <w:t>Recovery</w:t>
            </w:r>
          </w:p>
        </w:tc>
      </w:tr>
      <w:tr>
        <w:tc>
          <w:tcPr>
            <w:tcW w:type="dxa" w:w="3360"/>
            <w:vAlign w:val="center"/>
          </w:tcPr>
          <w:p>
            <w:r>
              <w:t>LLM unavailable</w:t>
            </w:r>
          </w:p>
        </w:tc>
        <w:tc>
          <w:tcPr>
            <w:tcW w:type="dxa" w:w="3360"/>
            <w:vAlign w:val="center"/>
          </w:tcPr>
          <w:p>
            <w:r>
              <w:t>Continue with rules + ML if safe; mark AI enrichment unavailable</w:t>
            </w:r>
          </w:p>
        </w:tc>
        <w:tc>
          <w:tcPr>
            <w:tcW w:type="dxa" w:w="3360"/>
            <w:vAlign w:val="center"/>
          </w:tcPr>
          <w:p>
            <w:r>
              <w:t>Retry with bounded backoff; queue if needed</w:t>
            </w:r>
          </w:p>
        </w:tc>
      </w:tr>
      <w:tr>
        <w:tc>
          <w:tcPr>
            <w:tcW w:type="dxa" w:w="3360"/>
            <w:vAlign w:val="center"/>
          </w:tcPr>
          <w:p>
            <w:r>
              <w:t>Reputation API unavailable</w:t>
            </w:r>
          </w:p>
        </w:tc>
        <w:tc>
          <w:tcPr>
            <w:tcW w:type="dxa" w:w="3360"/>
            <w:vAlign w:val="center"/>
          </w:tcPr>
          <w:p>
            <w:r>
              <w:t>Continue without that signal and lower confidence</w:t>
            </w:r>
          </w:p>
        </w:tc>
        <w:tc>
          <w:tcPr>
            <w:tcW w:type="dxa" w:w="3360"/>
            <w:vAlign w:val="center"/>
          </w:tcPr>
          <w:p>
            <w:r>
              <w:t>Retry later; record missing dependency</w:t>
            </w:r>
          </w:p>
        </w:tc>
      </w:tr>
      <w:tr>
        <w:tc>
          <w:tcPr>
            <w:tcW w:type="dxa" w:w="3360"/>
            <w:vAlign w:val="center"/>
          </w:tcPr>
          <w:p>
            <w:r>
              <w:t>Queue unavailable</w:t>
            </w:r>
          </w:p>
        </w:tc>
        <w:tc>
          <w:tcPr>
            <w:tcW w:type="dxa" w:w="3360"/>
            <w:vAlign w:val="center"/>
          </w:tcPr>
          <w:p>
            <w:r>
              <w:t>Stop consequential actions and preserve event locally where safe</w:t>
            </w:r>
          </w:p>
        </w:tc>
        <w:tc>
          <w:tcPr>
            <w:tcW w:type="dxa" w:w="3360"/>
            <w:vAlign w:val="center"/>
          </w:tcPr>
          <w:p>
            <w:r>
              <w:t>Restore queue and replay idempotently</w:t>
            </w:r>
          </w:p>
        </w:tc>
      </w:tr>
      <w:tr>
        <w:tc>
          <w:tcPr>
            <w:tcW w:type="dxa" w:w="3360"/>
            <w:vAlign w:val="center"/>
          </w:tcPr>
          <w:p>
            <w:r>
              <w:t>Malformed email</w:t>
            </w:r>
          </w:p>
        </w:tc>
        <w:tc>
          <w:tcPr>
            <w:tcW w:type="dxa" w:w="3360"/>
            <w:vAlign w:val="center"/>
          </w:tcPr>
          <w:p>
            <w:r>
              <w:t>Reject/route to dead-letter queue</w:t>
            </w:r>
          </w:p>
        </w:tc>
        <w:tc>
          <w:tcPr>
            <w:tcW w:type="dxa" w:w="3360"/>
            <w:vAlign w:val="center"/>
          </w:tcPr>
          <w:p>
            <w:r>
              <w:t>Inspect and fix parser; replay</w:t>
            </w:r>
          </w:p>
        </w:tc>
      </w:tr>
      <w:tr>
        <w:tc>
          <w:tcPr>
            <w:tcW w:type="dxa" w:w="3360"/>
            <w:vAlign w:val="center"/>
          </w:tcPr>
          <w:p>
            <w:r>
              <w:t>Model performance degrades</w:t>
            </w:r>
          </w:p>
        </w:tc>
        <w:tc>
          <w:tcPr>
            <w:tcW w:type="dxa" w:w="3360"/>
            <w:vAlign w:val="center"/>
          </w:tcPr>
          <w:p>
            <w:r>
              <w:t>Raise monitoring alert and consider rollback</w:t>
            </w:r>
          </w:p>
        </w:tc>
        <w:tc>
          <w:tcPr>
            <w:tcW w:type="dxa" w:w="3360"/>
            <w:vAlign w:val="center"/>
          </w:tcPr>
          <w:p>
            <w:r>
              <w:t>Rollback to last approved version</w:t>
            </w:r>
          </w:p>
        </w:tc>
      </w:tr>
      <w:tr>
        <w:tc>
          <w:tcPr>
            <w:tcW w:type="dxa" w:w="3360"/>
            <w:vAlign w:val="center"/>
          </w:tcPr>
          <w:p>
            <w:r>
              <w:t>Unexpected LLM output</w:t>
            </w:r>
          </w:p>
        </w:tc>
        <w:tc>
          <w:tcPr>
            <w:tcW w:type="dxa" w:w="3360"/>
            <w:vAlign w:val="center"/>
          </w:tcPr>
          <w:p>
            <w:r>
              <w:t>Reject schema-invalid response</w:t>
            </w:r>
          </w:p>
        </w:tc>
        <w:tc>
          <w:tcPr>
            <w:tcW w:type="dxa" w:w="3360"/>
            <w:vAlign w:val="center"/>
          </w:tcPr>
          <w:p>
            <w:r>
              <w:t>Retry or route to human review</w:t>
            </w:r>
          </w:p>
        </w:tc>
      </w:tr>
      <w:tr>
        <w:tc>
          <w:tcPr>
            <w:tcW w:type="dxa" w:w="3360"/>
            <w:vAlign w:val="center"/>
          </w:tcPr>
          <w:p>
            <w:r>
              <w:t>Credential compromise suspected</w:t>
            </w:r>
          </w:p>
        </w:tc>
        <w:tc>
          <w:tcPr>
            <w:tcW w:type="dxa" w:w="3360"/>
            <w:vAlign w:val="center"/>
          </w:tcPr>
          <w:p>
            <w:r>
              <w:t>Disable affected credential and stop dependent actions</w:t>
            </w:r>
          </w:p>
        </w:tc>
        <w:tc>
          <w:tcPr>
            <w:tcW w:type="dxa" w:w="3360"/>
            <w:vAlign w:val="center"/>
          </w:tcPr>
          <w:p>
            <w:r>
              <w:t>Rotate secrets and investigate audit logs</w:t>
            </w:r>
          </w:p>
        </w:tc>
      </w:tr>
    </w:tbl>
    <w:p>
      <w:pPr>
        <w:pStyle w:val="Heading1"/>
      </w:pPr>
      <w:r>
        <w:t>14. Phased Implementation Roadmap</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Phase</w:t>
            </w:r>
          </w:p>
        </w:tc>
        <w:tc>
          <w:tcPr>
            <w:tcW w:type="dxa" w:w="5040"/>
            <w:shd w:fill="D9EAF7"/>
          </w:tcPr>
          <w:p>
            <w:r>
              <w:rPr>
                <w:b/>
              </w:rPr>
              <w:t>Deliverables</w:t>
            </w:r>
          </w:p>
        </w:tc>
      </w:tr>
      <w:tr>
        <w:tc>
          <w:tcPr>
            <w:tcW w:type="dxa" w:w="5040"/>
            <w:vAlign w:val="center"/>
          </w:tcPr>
          <w:p>
            <w:r>
              <w:t>Phase 1 — Prototype</w:t>
            </w:r>
          </w:p>
        </w:tc>
        <w:tc>
          <w:tcPr>
            <w:tcW w:type="dxa" w:w="5040"/>
            <w:vAlign w:val="center"/>
          </w:tcPr>
          <w:p>
            <w:r>
              <w:t>Email ingestion, normalization, rules, simple classifier, basic logging.</w:t>
            </w:r>
          </w:p>
        </w:tc>
      </w:tr>
      <w:tr>
        <w:tc>
          <w:tcPr>
            <w:tcW w:type="dxa" w:w="5040"/>
            <w:vAlign w:val="center"/>
          </w:tcPr>
          <w:p>
            <w:r>
              <w:t>Phase 2 — AI enrichment</w:t>
            </w:r>
          </w:p>
        </w:tc>
        <w:tc>
          <w:tcPr>
            <w:tcW w:type="dxa" w:w="5040"/>
            <w:vAlign w:val="center"/>
          </w:tcPr>
          <w:p>
            <w:r>
              <w:t>LLM structured analysis, reputation adapter, decision engine.</w:t>
            </w:r>
          </w:p>
        </w:tc>
      </w:tr>
      <w:tr>
        <w:tc>
          <w:tcPr>
            <w:tcW w:type="dxa" w:w="5040"/>
            <w:vAlign w:val="center"/>
          </w:tcPr>
          <w:p>
            <w:r>
              <w:t>Phase 3 — Human workflow</w:t>
            </w:r>
          </w:p>
        </w:tc>
        <w:tc>
          <w:tcPr>
            <w:tcW w:type="dxa" w:w="5040"/>
            <w:vAlign w:val="center"/>
          </w:tcPr>
          <w:p>
            <w:r>
              <w:t>Review queue, analyst approval, feedback capture, dashboards.</w:t>
            </w:r>
          </w:p>
        </w:tc>
      </w:tr>
      <w:tr>
        <w:tc>
          <w:tcPr>
            <w:tcW w:type="dxa" w:w="5040"/>
            <w:vAlign w:val="center"/>
          </w:tcPr>
          <w:p>
            <w:r>
              <w:t>Phase 4 — Production hardening</w:t>
            </w:r>
          </w:p>
        </w:tc>
        <w:tc>
          <w:tcPr>
            <w:tcW w:type="dxa" w:w="5040"/>
            <w:vAlign w:val="center"/>
          </w:tcPr>
          <w:p>
            <w:r>
              <w:t>Retries, queues, secrets management, RBAC, monitoring, disaster recovery.</w:t>
            </w:r>
          </w:p>
        </w:tc>
      </w:tr>
      <w:tr>
        <w:tc>
          <w:tcPr>
            <w:tcW w:type="dxa" w:w="5040"/>
            <w:vAlign w:val="center"/>
          </w:tcPr>
          <w:p>
            <w:r>
              <w:t>Phase 5 — Continuous improvement</w:t>
            </w:r>
          </w:p>
        </w:tc>
        <w:tc>
          <w:tcPr>
            <w:tcW w:type="dxa" w:w="5040"/>
            <w:vAlign w:val="center"/>
          </w:tcPr>
          <w:p>
            <w:r>
              <w:t>Evaluation dataset, model/prompt registry, drift monitoring, controlled releases.</w:t>
            </w:r>
          </w:p>
        </w:tc>
      </w:tr>
    </w:tbl>
    <w:p>
      <w:pPr>
        <w:pStyle w:val="Heading1"/>
      </w:pPr>
      <w:r>
        <w:t>15. Key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Risk</w:t>
            </w:r>
          </w:p>
        </w:tc>
        <w:tc>
          <w:tcPr>
            <w:tcW w:type="dxa" w:w="3360"/>
            <w:shd w:fill="D9EAF7"/>
          </w:tcPr>
          <w:p>
            <w:r>
              <w:rPr>
                <w:b/>
              </w:rPr>
              <w:t>Impact</w:t>
            </w:r>
          </w:p>
        </w:tc>
        <w:tc>
          <w:tcPr>
            <w:tcW w:type="dxa" w:w="3360"/>
            <w:shd w:fill="D9EAF7"/>
          </w:tcPr>
          <w:p>
            <w:r>
              <w:rPr>
                <w:b/>
              </w:rPr>
              <w:t>Mitigation</w:t>
            </w:r>
          </w:p>
        </w:tc>
      </w:tr>
      <w:tr>
        <w:tc>
          <w:tcPr>
            <w:tcW w:type="dxa" w:w="3360"/>
            <w:vAlign w:val="center"/>
          </w:tcPr>
          <w:p>
            <w:r>
              <w:t>False positive overload</w:t>
            </w:r>
          </w:p>
        </w:tc>
        <w:tc>
          <w:tcPr>
            <w:tcW w:type="dxa" w:w="3360"/>
            <w:vAlign w:val="center"/>
          </w:tcPr>
          <w:p>
            <w:r>
              <w:t>High</w:t>
            </w:r>
          </w:p>
        </w:tc>
        <w:tc>
          <w:tcPr>
            <w:tcW w:type="dxa" w:w="3360"/>
            <w:vAlign w:val="center"/>
          </w:tcPr>
          <w:p>
            <w:r>
              <w:t>Tune thresholds using validation data; monitor analyst override rate.</w:t>
            </w:r>
          </w:p>
        </w:tc>
      </w:tr>
      <w:tr>
        <w:tc>
          <w:tcPr>
            <w:tcW w:type="dxa" w:w="3360"/>
            <w:vAlign w:val="center"/>
          </w:tcPr>
          <w:p>
            <w:r>
              <w:t>Missed phishing</w:t>
            </w:r>
          </w:p>
        </w:tc>
        <w:tc>
          <w:tcPr>
            <w:tcW w:type="dxa" w:w="3360"/>
            <w:vAlign w:val="center"/>
          </w:tcPr>
          <w:p>
            <w:r>
              <w:t>High</w:t>
            </w:r>
          </w:p>
        </w:tc>
        <w:tc>
          <w:tcPr>
            <w:tcW w:type="dxa" w:w="3360"/>
            <w:vAlign w:val="center"/>
          </w:tcPr>
          <w:p>
            <w:r>
              <w:t>Use layered signals and conservative high-risk routing.</w:t>
            </w:r>
          </w:p>
        </w:tc>
      </w:tr>
      <w:tr>
        <w:tc>
          <w:tcPr>
            <w:tcW w:type="dxa" w:w="3360"/>
            <w:vAlign w:val="center"/>
          </w:tcPr>
          <w:p>
            <w:r>
              <w:t>Prompt injection in email content</w:t>
            </w:r>
          </w:p>
        </w:tc>
        <w:tc>
          <w:tcPr>
            <w:tcW w:type="dxa" w:w="3360"/>
            <w:vAlign w:val="center"/>
          </w:tcPr>
          <w:p>
            <w:r>
              <w:t>High</w:t>
            </w:r>
          </w:p>
        </w:tc>
        <w:tc>
          <w:tcPr>
            <w:tcW w:type="dxa" w:w="3360"/>
            <w:vAlign w:val="center"/>
          </w:tcPr>
          <w:p>
            <w:r>
              <w:t>Treat email as untrusted data; constrain tools and outputs.</w:t>
            </w:r>
          </w:p>
        </w:tc>
      </w:tr>
      <w:tr>
        <w:tc>
          <w:tcPr>
            <w:tcW w:type="dxa" w:w="3360"/>
            <w:vAlign w:val="center"/>
          </w:tcPr>
          <w:p>
            <w:r>
              <w:t>Sensitive data exposure</w:t>
            </w:r>
          </w:p>
        </w:tc>
        <w:tc>
          <w:tcPr>
            <w:tcW w:type="dxa" w:w="3360"/>
            <w:vAlign w:val="center"/>
          </w:tcPr>
          <w:p>
            <w:r>
              <w:t>High</w:t>
            </w:r>
          </w:p>
        </w:tc>
        <w:tc>
          <w:tcPr>
            <w:tcW w:type="dxa" w:w="3360"/>
            <w:vAlign w:val="center"/>
          </w:tcPr>
          <w:p>
            <w:r>
              <w:t>Minimize data, encrypt, restrict access, define retention.</w:t>
            </w:r>
          </w:p>
        </w:tc>
      </w:tr>
      <w:tr>
        <w:tc>
          <w:tcPr>
            <w:tcW w:type="dxa" w:w="3360"/>
            <w:vAlign w:val="center"/>
          </w:tcPr>
          <w:p>
            <w:r>
              <w:t>Vendor/API outage</w:t>
            </w:r>
          </w:p>
        </w:tc>
        <w:tc>
          <w:tcPr>
            <w:tcW w:type="dxa" w:w="3360"/>
            <w:vAlign w:val="center"/>
          </w:tcPr>
          <w:p>
            <w:r>
              <w:t>Medium</w:t>
            </w:r>
          </w:p>
        </w:tc>
        <w:tc>
          <w:tcPr>
            <w:tcW w:type="dxa" w:w="3360"/>
            <w:vAlign w:val="center"/>
          </w:tcPr>
          <w:p>
            <w:r>
              <w:t>Adapters, retries, queues, graceful degradation.</w:t>
            </w:r>
          </w:p>
        </w:tc>
      </w:tr>
      <w:tr>
        <w:tc>
          <w:tcPr>
            <w:tcW w:type="dxa" w:w="3360"/>
            <w:vAlign w:val="center"/>
          </w:tcPr>
          <w:p>
            <w:r>
              <w:t>Model drift</w:t>
            </w:r>
          </w:p>
        </w:tc>
        <w:tc>
          <w:tcPr>
            <w:tcW w:type="dxa" w:w="3360"/>
            <w:vAlign w:val="center"/>
          </w:tcPr>
          <w:p>
            <w:r>
              <w:t>Medium</w:t>
            </w:r>
          </w:p>
        </w:tc>
        <w:tc>
          <w:tcPr>
            <w:tcW w:type="dxa" w:w="3360"/>
            <w:vAlign w:val="center"/>
          </w:tcPr>
          <w:p>
            <w:r>
              <w:t>Continuous evaluation and drift monitoring.</w:t>
            </w:r>
          </w:p>
        </w:tc>
      </w:tr>
      <w:tr>
        <w:tc>
          <w:tcPr>
            <w:tcW w:type="dxa" w:w="3360"/>
            <w:vAlign w:val="center"/>
          </w:tcPr>
          <w:p>
            <w:r>
              <w:t>Over-automation</w:t>
            </w:r>
          </w:p>
        </w:tc>
        <w:tc>
          <w:tcPr>
            <w:tcW w:type="dxa" w:w="3360"/>
            <w:vAlign w:val="center"/>
          </w:tcPr>
          <w:p>
            <w:r>
              <w:t>High</w:t>
            </w:r>
          </w:p>
        </w:tc>
        <w:tc>
          <w:tcPr>
            <w:tcW w:type="dxa" w:w="3360"/>
            <w:vAlign w:val="center"/>
          </w:tcPr>
          <w:p>
            <w:r>
              <w:t>Human approval for consequential actions.</w:t>
            </w:r>
          </w:p>
        </w:tc>
      </w:tr>
    </w:tbl>
    <w:p>
      <w:pPr>
        <w:pStyle w:val="Heading1"/>
      </w:pPr>
      <w:r>
        <w:t>16. Architecture Decision Summary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Decision</w:t>
            </w:r>
          </w:p>
        </w:tc>
        <w:tc>
          <w:tcPr>
            <w:tcW w:type="dxa" w:w="5040"/>
            <w:shd w:fill="D9EAF7"/>
          </w:tcPr>
          <w:p>
            <w:r>
              <w:rPr>
                <w:b/>
              </w:rPr>
              <w:t>Reason</w:t>
            </w:r>
          </w:p>
        </w:tc>
      </w:tr>
      <w:tr>
        <w:tc>
          <w:tcPr>
            <w:tcW w:type="dxa" w:w="5040"/>
            <w:vAlign w:val="center"/>
          </w:tcPr>
          <w:p>
            <w:r>
              <w:t>Layered detection instead of one AI model</w:t>
            </w:r>
          </w:p>
        </w:tc>
        <w:tc>
          <w:tcPr>
            <w:tcW w:type="dxa" w:w="5040"/>
            <w:vAlign w:val="center"/>
          </w:tcPr>
          <w:p>
            <w:r>
              <w:t>Improves resilience and explainability.</w:t>
            </w:r>
          </w:p>
        </w:tc>
      </w:tr>
      <w:tr>
        <w:tc>
          <w:tcPr>
            <w:tcW w:type="dxa" w:w="5040"/>
            <w:vAlign w:val="center"/>
          </w:tcPr>
          <w:p>
            <w:r>
              <w:t>n8n/orchestrator separated from core decision logic</w:t>
            </w:r>
          </w:p>
        </w:tc>
        <w:tc>
          <w:tcPr>
            <w:tcW w:type="dxa" w:w="5040"/>
            <w:vAlign w:val="center"/>
          </w:tcPr>
          <w:p>
            <w:r>
              <w:t>Makes workflows editable without embedding policy in automation nodes.</w:t>
            </w:r>
          </w:p>
        </w:tc>
      </w:tr>
      <w:tr>
        <w:tc>
          <w:tcPr>
            <w:tcW w:type="dxa" w:w="5040"/>
            <w:vAlign w:val="center"/>
          </w:tcPr>
          <w:p>
            <w:r>
              <w:t>Decision engine separate from LLM</w:t>
            </w:r>
          </w:p>
        </w:tc>
        <w:tc>
          <w:tcPr>
            <w:tcW w:type="dxa" w:w="5040"/>
            <w:vAlign w:val="center"/>
          </w:tcPr>
          <w:p>
            <w:r>
              <w:t>Prevents free-form AI output from directly controlling high-impact actions.</w:t>
            </w:r>
          </w:p>
        </w:tc>
      </w:tr>
      <w:tr>
        <w:tc>
          <w:tcPr>
            <w:tcW w:type="dxa" w:w="5040"/>
            <w:vAlign w:val="center"/>
          </w:tcPr>
          <w:p>
            <w:r>
              <w:t>Human-in-the-loop</w:t>
            </w:r>
          </w:p>
        </w:tc>
        <w:tc>
          <w:tcPr>
            <w:tcW w:type="dxa" w:w="5040"/>
            <w:vAlign w:val="center"/>
          </w:tcPr>
          <w:p>
            <w:r>
              <w:t>Controls ambiguous and high-risk outcomes.</w:t>
            </w:r>
          </w:p>
        </w:tc>
      </w:tr>
      <w:tr>
        <w:tc>
          <w:tcPr>
            <w:tcW w:type="dxa" w:w="5040"/>
            <w:vAlign w:val="center"/>
          </w:tcPr>
          <w:p>
            <w:r>
              <w:t>Event IDs + idempotency</w:t>
            </w:r>
          </w:p>
        </w:tc>
        <w:tc>
          <w:tcPr>
            <w:tcW w:type="dxa" w:w="5040"/>
            <w:vAlign w:val="center"/>
          </w:tcPr>
          <w:p>
            <w:r>
              <w:t>Supports reliable retries and duplicate prevention.</w:t>
            </w:r>
          </w:p>
        </w:tc>
      </w:tr>
      <w:tr>
        <w:tc>
          <w:tcPr>
            <w:tcW w:type="dxa" w:w="5040"/>
            <w:vAlign w:val="center"/>
          </w:tcPr>
          <w:p>
            <w:r>
              <w:t>Version everything</w:t>
            </w:r>
          </w:p>
        </w:tc>
        <w:tc>
          <w:tcPr>
            <w:tcW w:type="dxa" w:w="5040"/>
            <w:vAlign w:val="center"/>
          </w:tcPr>
          <w:p>
            <w:r>
              <w:t>Makes AI behavior traceable and rollback possible.</w:t>
            </w:r>
          </w:p>
        </w:tc>
      </w:tr>
      <w:tr>
        <w:tc>
          <w:tcPr>
            <w:tcW w:type="dxa" w:w="5040"/>
            <w:vAlign w:val="center"/>
          </w:tcPr>
          <w:p>
            <w:r>
              <w:t>Observability from day one</w:t>
            </w:r>
          </w:p>
        </w:tc>
        <w:tc>
          <w:tcPr>
            <w:tcW w:type="dxa" w:w="5040"/>
            <w:vAlign w:val="center"/>
          </w:tcPr>
          <w:p>
            <w:r>
              <w:t>Architecture can be evaluated and improved using real operational data.</w:t>
            </w:r>
          </w:p>
        </w:tc>
      </w:tr>
    </w:tbl>
    <w:p>
      <w:pPr>
        <w:pStyle w:val="Heading1"/>
      </w:pPr>
      <w:r>
        <w:t>17. Conclusion</w:t>
      </w:r>
    </w:p>
    <w:p>
      <w:r>
        <w:t>The proposed architecture provides a practical foundation for an AI-assisted phishing email detection and SOC triage platform. It satisfies the Week 1 objective by defining the problem, system components, data flow, AI modules, integration points, scalability strategy, security controls, monitoring approach, and implementation roadmap.</w:t>
      </w:r>
    </w:p>
    <w:p>
      <w:r>
        <w:t>The central architectural principle is controlled automation: use deterministic controls for simple decisions, AI for pattern recognition and semantic analysis, a dedicated decision layer for policy, and human analysts for consequential or uncertain outcomes. This creates a system that can evolve from a prototype into a production-oriented architecture without requiring a complete redesign.</w:t>
      </w:r>
    </w:p>
    <w:p>
      <w:pPr>
        <w:pStyle w:val="Heading1"/>
      </w:pPr>
      <w:r>
        <w:t>18. References / Public Research Sources</w:t>
      </w:r>
    </w:p>
    <w:p>
      <w:pPr>
        <w:pStyle w:val="ListBullet"/>
      </w:pPr>
      <w:r>
        <w:rPr>
          <w:b/>
        </w:rPr>
        <w:t xml:space="preserve">NIST — AI Risk Management Framework — </w:t>
      </w:r>
      <w:r>
        <w:t>https://www.nist.gov/itl/ai-risk-management-framework</w:t>
      </w:r>
    </w:p>
    <w:p>
      <w:pPr>
        <w:pStyle w:val="ListBullet"/>
      </w:pPr>
      <w:r>
        <w:rPr>
          <w:b/>
        </w:rPr>
        <w:t xml:space="preserve">NIST — AI RMF Core — </w:t>
      </w:r>
      <w:r>
        <w:t>https://airc.nist.gov/airmf-resources/airmf/5-sec-core/</w:t>
      </w:r>
    </w:p>
    <w:p>
      <w:pPr>
        <w:pStyle w:val="ListBullet"/>
      </w:pPr>
      <w:r>
        <w:rPr>
          <w:b/>
        </w:rPr>
        <w:t xml:space="preserve">NIST — AI Risks and Trustworthiness — </w:t>
      </w:r>
      <w:r>
        <w:t>https://airc.nist.gov/airmf-resources/airmf/3-sec-characteristics/</w:t>
      </w:r>
    </w:p>
    <w:p>
      <w:pPr>
        <w:pStyle w:val="ListBullet"/>
      </w:pPr>
      <w:r>
        <w:rPr>
          <w:b/>
        </w:rPr>
        <w:t xml:space="preserve">AWS — Well-Architected Machine Learning Lens — </w:t>
      </w:r>
      <w:r>
        <w:t>https://docs.aws.amazon.com/wellarchitected/latest/machine-learning-lens/</w:t>
      </w:r>
    </w:p>
    <w:p>
      <w:pPr>
        <w:pStyle w:val="ListBullet"/>
      </w:pPr>
      <w:r>
        <w:rPr>
          <w:b/>
        </w:rPr>
        <w:t xml:space="preserve">AWS — Machine Learning Design Principles — </w:t>
      </w:r>
      <w:r>
        <w:t>https://docs.aws.amazon.com/wellarchitected/latest/machine-learning-lens/design-principles.html</w:t>
      </w:r>
    </w:p>
    <w:p>
      <w:pPr>
        <w:pStyle w:val="ListBullet"/>
      </w:pPr>
      <w:r>
        <w:rPr>
          <w:b/>
        </w:rPr>
        <w:t xml:space="preserve">Google Cloud — Practitioner's Guide to MLOps — </w:t>
      </w:r>
      <w:r>
        <w:t>https://cloud.google.com/resources/mlops-whitepaper</w:t>
      </w:r>
    </w:p>
    <w:p>
      <w:pPr>
        <w:pStyle w:val="ListBullet"/>
      </w:pPr>
      <w:r>
        <w:rPr>
          <w:b/>
        </w:rPr>
        <w:t xml:space="preserve">OWASP — Top 10 for LLM Applications — </w:t>
      </w:r>
      <w:r>
        <w:t>https://owasp.org/www-project-top-10-for-large-language-model-applications/</w:t>
      </w:r>
    </w:p>
    <w:p>
      <w:pPr>
        <w:pStyle w:val="ListBullet"/>
      </w:pPr>
      <w:r>
        <w:rPr>
          <w:b/>
        </w:rPr>
        <w:t xml:space="preserve">OWASP GenAI Security Project — Top 10 for LLM Applications 2026 — </w:t>
      </w:r>
      <w:r>
        <w:t>https://genai.owasp.org/resource/owasp-genai-llm-top-10-2026/</w:t>
      </w:r>
    </w:p>
    <w:p>
      <w:pPr>
        <w:pStyle w:val="Heading1"/>
      </w:pPr>
      <w:r>
        <w:t>Appendix A — Suggested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Layer</w:t>
            </w:r>
          </w:p>
        </w:tc>
        <w:tc>
          <w:tcPr>
            <w:tcW w:type="dxa" w:w="3360"/>
            <w:shd w:fill="D9EAF7"/>
          </w:tcPr>
          <w:p>
            <w:r>
              <w:rPr>
                <w:b/>
              </w:rPr>
              <w:t>Suggested technologies</w:t>
            </w:r>
          </w:p>
        </w:tc>
        <w:tc>
          <w:tcPr>
            <w:tcW w:type="dxa" w:w="3360"/>
            <w:shd w:fill="D9EAF7"/>
          </w:tcPr>
          <w:p>
            <w:r>
              <w:rPr>
                <w:b/>
              </w:rPr>
              <w:t>Notes</w:t>
            </w:r>
          </w:p>
        </w:tc>
      </w:tr>
      <w:tr>
        <w:tc>
          <w:tcPr>
            <w:tcW w:type="dxa" w:w="3360"/>
            <w:vAlign w:val="center"/>
          </w:tcPr>
          <w:p>
            <w:r>
              <w:t>Workflow orchestration</w:t>
            </w:r>
          </w:p>
        </w:tc>
        <w:tc>
          <w:tcPr>
            <w:tcW w:type="dxa" w:w="3360"/>
            <w:vAlign w:val="center"/>
          </w:tcPr>
          <w:p>
            <w:r>
              <w:t>n8n</w:t>
            </w:r>
          </w:p>
        </w:tc>
        <w:tc>
          <w:tcPr>
            <w:tcW w:type="dxa" w:w="3360"/>
            <w:vAlign w:val="center"/>
          </w:tcPr>
          <w:p>
            <w:r>
              <w:t>Rapid integration, approvals, retries, notifications.</w:t>
            </w:r>
          </w:p>
        </w:tc>
      </w:tr>
      <w:tr>
        <w:tc>
          <w:tcPr>
            <w:tcW w:type="dxa" w:w="3360"/>
            <w:vAlign w:val="center"/>
          </w:tcPr>
          <w:p>
            <w:r>
              <w:t>API layer</w:t>
            </w:r>
          </w:p>
        </w:tc>
        <w:tc>
          <w:tcPr>
            <w:tcW w:type="dxa" w:w="3360"/>
            <w:vAlign w:val="center"/>
          </w:tcPr>
          <w:p>
            <w:r>
              <w:t>FastAPI / Node.js</w:t>
            </w:r>
          </w:p>
        </w:tc>
        <w:tc>
          <w:tcPr>
            <w:tcW w:type="dxa" w:w="3360"/>
            <w:vAlign w:val="center"/>
          </w:tcPr>
          <w:p>
            <w:r>
              <w:t>Lightweight service boundaries.</w:t>
            </w:r>
          </w:p>
        </w:tc>
      </w:tr>
      <w:tr>
        <w:tc>
          <w:tcPr>
            <w:tcW w:type="dxa" w:w="3360"/>
            <w:vAlign w:val="center"/>
          </w:tcPr>
          <w:p>
            <w:r>
              <w:t>ML</w:t>
            </w:r>
          </w:p>
        </w:tc>
        <w:tc>
          <w:tcPr>
            <w:tcW w:type="dxa" w:w="3360"/>
            <w:vAlign w:val="center"/>
          </w:tcPr>
          <w:p>
            <w:r>
              <w:t>Python + scikit-learn / transformer library</w:t>
            </w:r>
          </w:p>
        </w:tc>
        <w:tc>
          <w:tcPr>
            <w:tcW w:type="dxa" w:w="3360"/>
            <w:vAlign w:val="center"/>
          </w:tcPr>
          <w:p>
            <w:r>
              <w:t>Start simple; benchmark before increasing complexity.</w:t>
            </w:r>
          </w:p>
        </w:tc>
      </w:tr>
      <w:tr>
        <w:tc>
          <w:tcPr>
            <w:tcW w:type="dxa" w:w="3360"/>
            <w:vAlign w:val="center"/>
          </w:tcPr>
          <w:p>
            <w:r>
              <w:t>LLM</w:t>
            </w:r>
          </w:p>
        </w:tc>
        <w:tc>
          <w:tcPr>
            <w:tcW w:type="dxa" w:w="3360"/>
            <w:vAlign w:val="center"/>
          </w:tcPr>
          <w:p>
            <w:r>
              <w:t>Approved hosted or self-hosted model</w:t>
            </w:r>
          </w:p>
        </w:tc>
        <w:tc>
          <w:tcPr>
            <w:tcW w:type="dxa" w:w="3360"/>
            <w:vAlign w:val="center"/>
          </w:tcPr>
          <w:p>
            <w:r>
              <w:t>Use structured output and strict tool permissions.</w:t>
            </w:r>
          </w:p>
        </w:tc>
      </w:tr>
      <w:tr>
        <w:tc>
          <w:tcPr>
            <w:tcW w:type="dxa" w:w="3360"/>
            <w:vAlign w:val="center"/>
          </w:tcPr>
          <w:p>
            <w:r>
              <w:t>Database</w:t>
            </w:r>
          </w:p>
        </w:tc>
        <w:tc>
          <w:tcPr>
            <w:tcW w:type="dxa" w:w="3360"/>
            <w:vAlign w:val="center"/>
          </w:tcPr>
          <w:p>
            <w:r>
              <w:t>PostgreSQL</w:t>
            </w:r>
          </w:p>
        </w:tc>
        <w:tc>
          <w:tcPr>
            <w:tcW w:type="dxa" w:w="3360"/>
            <w:vAlign w:val="center"/>
          </w:tcPr>
          <w:p>
            <w:r>
              <w:t>Cases, metadata, audit references.</w:t>
            </w:r>
          </w:p>
        </w:tc>
      </w:tr>
      <w:tr>
        <w:tc>
          <w:tcPr>
            <w:tcW w:type="dxa" w:w="3360"/>
            <w:vAlign w:val="center"/>
          </w:tcPr>
          <w:p>
            <w:r>
              <w:t>Queue</w:t>
            </w:r>
          </w:p>
        </w:tc>
        <w:tc>
          <w:tcPr>
            <w:tcW w:type="dxa" w:w="3360"/>
            <w:vAlign w:val="center"/>
          </w:tcPr>
          <w:p>
            <w:r>
              <w:t>Redis Streams / RabbitMQ / cloud queue</w:t>
            </w:r>
          </w:p>
        </w:tc>
        <w:tc>
          <w:tcPr>
            <w:tcW w:type="dxa" w:w="3360"/>
            <w:vAlign w:val="center"/>
          </w:tcPr>
          <w:p>
            <w:r>
              <w:t>Asynchronous processing and back-pressure.</w:t>
            </w:r>
          </w:p>
        </w:tc>
      </w:tr>
      <w:tr>
        <w:tc>
          <w:tcPr>
            <w:tcW w:type="dxa" w:w="3360"/>
            <w:vAlign w:val="center"/>
          </w:tcPr>
          <w:p>
            <w:r>
              <w:t>Object storage</w:t>
            </w:r>
          </w:p>
        </w:tc>
        <w:tc>
          <w:tcPr>
            <w:tcW w:type="dxa" w:w="3360"/>
            <w:vAlign w:val="center"/>
          </w:tcPr>
          <w:p>
            <w:r>
              <w:t>S3-compatible storage</w:t>
            </w:r>
          </w:p>
        </w:tc>
        <w:tc>
          <w:tcPr>
            <w:tcW w:type="dxa" w:w="3360"/>
            <w:vAlign w:val="center"/>
          </w:tcPr>
          <w:p>
            <w:r>
              <w:t>Large artifacts and controlled retention.</w:t>
            </w:r>
          </w:p>
        </w:tc>
      </w:tr>
      <w:tr>
        <w:tc>
          <w:tcPr>
            <w:tcW w:type="dxa" w:w="3360"/>
            <w:vAlign w:val="center"/>
          </w:tcPr>
          <w:p>
            <w:r>
              <w:t>Monitoring</w:t>
            </w:r>
          </w:p>
        </w:tc>
        <w:tc>
          <w:tcPr>
            <w:tcW w:type="dxa" w:w="3360"/>
            <w:vAlign w:val="center"/>
          </w:tcPr>
          <w:p>
            <w:r>
              <w:t>OpenTelemetry + metrics/logging platform</w:t>
            </w:r>
          </w:p>
        </w:tc>
        <w:tc>
          <w:tcPr>
            <w:tcW w:type="dxa" w:w="3360"/>
            <w:vAlign w:val="center"/>
          </w:tcPr>
          <w:p>
            <w:r>
              <w:t>Tracing and operational visibility.</w:t>
            </w:r>
          </w:p>
        </w:tc>
      </w:tr>
      <w:tr>
        <w:tc>
          <w:tcPr>
            <w:tcW w:type="dxa" w:w="3360"/>
            <w:vAlign w:val="center"/>
          </w:tcPr>
          <w:p>
            <w:r>
              <w:t>Containerization</w:t>
            </w:r>
          </w:p>
        </w:tc>
        <w:tc>
          <w:tcPr>
            <w:tcW w:type="dxa" w:w="3360"/>
            <w:vAlign w:val="center"/>
          </w:tcPr>
          <w:p>
            <w:r>
              <w:t>Docker</w:t>
            </w:r>
          </w:p>
        </w:tc>
        <w:tc>
          <w:tcPr>
            <w:tcW w:type="dxa" w:w="3360"/>
            <w:vAlign w:val="center"/>
          </w:tcPr>
          <w:p>
            <w:r>
              <w:t>Consistent packaging and deployment.</w:t>
            </w:r>
          </w:p>
        </w:tc>
      </w:tr>
      <w:tr>
        <w:tc>
          <w:tcPr>
            <w:tcW w:type="dxa" w:w="3360"/>
            <w:vAlign w:val="center"/>
          </w:tcPr>
          <w:p>
            <w:r>
              <w:t>CI/CD</w:t>
            </w:r>
          </w:p>
        </w:tc>
        <w:tc>
          <w:tcPr>
            <w:tcW w:type="dxa" w:w="3360"/>
            <w:vAlign w:val="center"/>
          </w:tcPr>
          <w:p>
            <w:r>
              <w:t>GitHub Actions / GitLab CI / cloud CI</w:t>
            </w:r>
          </w:p>
        </w:tc>
        <w:tc>
          <w:tcPr>
            <w:tcW w:type="dxa" w:w="3360"/>
            <w:vAlign w:val="center"/>
          </w:tcPr>
          <w:p>
            <w:r>
              <w:t>Automated testing and controlled releases.</w:t>
            </w:r>
          </w:p>
        </w:tc>
      </w:tr>
    </w:tbl>
    <w:p>
      <w:pPr>
        <w:pStyle w:val="Heading1"/>
      </w:pPr>
      <w:r>
        <w:t>Appendix B — Submission Checklist</w:t>
      </w:r>
    </w:p>
    <w:p>
      <w:pPr>
        <w:pStyle w:val="ListBullet"/>
      </w:pPr>
      <w:r>
        <w:t>Problem statement and scope defined.</w:t>
      </w:r>
    </w:p>
    <w:p>
      <w:pPr>
        <w:pStyle w:val="ListBullet"/>
      </w:pPr>
      <w:r>
        <w:t>High-level architecture diagram included.</w:t>
      </w:r>
    </w:p>
    <w:p>
      <w:pPr>
        <w:pStyle w:val="ListBullet"/>
      </w:pPr>
      <w:r>
        <w:t>Data flow / decision flow diagram included.</w:t>
      </w:r>
    </w:p>
    <w:p>
      <w:pPr>
        <w:pStyle w:val="ListBullet"/>
      </w:pPr>
      <w:r>
        <w:t>AI module choices and reasoning documented.</w:t>
      </w:r>
    </w:p>
    <w:p>
      <w:pPr>
        <w:pStyle w:val="ListBullet"/>
      </w:pPr>
      <w:r>
        <w:t>Integration points documented.</w:t>
      </w:r>
    </w:p>
    <w:p>
      <w:pPr>
        <w:pStyle w:val="ListBullet"/>
      </w:pPr>
      <w:r>
        <w:t>Scalability, modularity, and robustness addressed.</w:t>
      </w:r>
    </w:p>
    <w:p>
      <w:pPr>
        <w:pStyle w:val="ListBullet"/>
      </w:pPr>
      <w:r>
        <w:t>Security and responsible AI controls addressed.</w:t>
      </w:r>
    </w:p>
    <w:p>
      <w:pPr>
        <w:pStyle w:val="ListBullet"/>
      </w:pPr>
      <w:r>
        <w:t>MLOps and monitoring lifecycle included.</w:t>
      </w:r>
    </w:p>
    <w:p>
      <w:pPr>
        <w:pStyle w:val="ListBullet"/>
      </w:pPr>
      <w:r>
        <w:t>Implementation roadmap and risks included.</w:t>
      </w:r>
    </w:p>
    <w:p>
      <w:pPr>
        <w:pStyle w:val="ListBullet"/>
      </w:pPr>
      <w:r>
        <w:t>Public research references included.</w:t>
      </w:r>
    </w:p>
    <w:p>
      <w:pPr>
        <w:pStyle w:val="ListBullet"/>
      </w:pPr>
      <w:r>
        <w:t>DOCX format prepared for submission.</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AI Architecture Blueprint | AI-Powered Phishing Email Detection &amp; SOC Triage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