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4 TECHNICAL REPORT</w:t>
        <w:br/>
      </w:r>
    </w:p>
    <w:p>
      <w:pPr>
        <w:pStyle w:val="Title"/>
        <w:jc w:val="center"/>
      </w:pPr>
      <w:r>
        <w:t>Optimizing AI System Performance and Scaling Solutions</w:t>
      </w:r>
    </w:p>
    <w:p>
      <w:pPr>
        <w:jc w:val="center"/>
      </w:pPr>
      <w:r>
        <w:rPr>
          <w:b/>
        </w:rPr>
        <w:t>Project: AI-Powered Phishing Email Detection &amp; SOC Triage</w:t>
      </w:r>
    </w:p>
    <w:p>
      <w:pPr>
        <w:jc w:val="center"/>
      </w:pPr>
      <w:r>
        <w:t>Performance analysis • Latency reduction • Scalable architecture • Validation plan</w:t>
      </w:r>
    </w:p>
    <w:p>
      <w:r>
        <w:t>This report continues Week 1 (architecture blueprint), Week 2 (data integration and pipeline strategy), and Week 3 (AI component prototype and evaluation plan).</w:t>
      </w:r>
    </w:p>
    <w:p>
      <w:r>
        <w:t>IMPORTANT: All performance values and comparison charts are illustrative planning examples, not measured benchmark results. No production traffic, trained model, or real deployment was available. Validate the targets through repeatable tests before presenting them as evidence.</w:t>
      </w:r>
    </w:p>
    <w:p>
      <w:r>
        <w:br w:type="page"/>
      </w:r>
    </w:p>
    <w:p>
      <w:pPr>
        <w:pStyle w:val="Heading1"/>
      </w:pPr>
      <w:r>
        <w:t>Executive Summary</w:t>
      </w:r>
    </w:p>
    <w:p>
      <w:r>
        <w:t>This report analyzes likely performance bottlenecks in a conceptual AI-powered phishing detection and SOC-triage pipeline. The system receives email events, validates and normalizes them, extracts features, obtains a model risk score, applies policy rules, and routes suspicious cases for human review. At higher volumes, risks include queue buildup, repeated feature processing, model inference latency, external API limits, storage contention, and synchronous integrations.</w:t>
      </w:r>
    </w:p>
    <w:p>
      <w:r>
        <w:t>Recommended design: separate ingestion from processing with a durable queue; run stateless workers in parallel; use bounded retries, timeouts and idempotency; optimize only after profiling; and scale using queue age, p95 latency, CPU/memory and error-rate signals. Keep human review for uncertain or consequential decisions.</w:t>
      </w:r>
    </w:p>
    <w:p>
      <w:pPr>
        <w:pStyle w:val="Heading2"/>
      </w:pPr>
      <w:r>
        <w:t>Objectives</w:t>
      </w:r>
    </w:p>
    <w:p>
      <w:pPr>
        <w:pStyle w:val="ListBullet"/>
      </w:pPr>
      <w:r>
        <w:t>Identify bottlenecks and scaling risks across the pipeline.</w:t>
      </w:r>
    </w:p>
    <w:p>
      <w:pPr>
        <w:pStyle w:val="ListBullet"/>
      </w:pPr>
      <w:r>
        <w:t>Compare a conceptual baseline with a measurable optimization target.</w:t>
      </w:r>
    </w:p>
    <w:p>
      <w:pPr>
        <w:pStyle w:val="ListBullet"/>
      </w:pPr>
      <w:r>
        <w:t>Recommend algorithmic, software, infrastructure and operational improvements.</w:t>
      </w:r>
    </w:p>
    <w:p>
      <w:pPr>
        <w:pStyle w:val="ListBullet"/>
      </w:pPr>
      <w:r>
        <w:t>Define KPIs, load-test scenarios, rollout safeguards and a staged roadmap.</w:t>
      </w:r>
    </w:p>
    <w:p>
      <w:pPr>
        <w:pStyle w:val="Heading1"/>
      </w:pPr>
      <w:r>
        <w:t>1. System Context and Processing Flow</w:t>
      </w:r>
    </w:p>
    <w:p>
      <w:r>
        <w:t>The system extracts relevant email indicators, calculates a risk score, applies explainable decision rules, and routes cases to storage or a human analyst. It must preserve evidence, protect sensitive email content, and avoid high-impact actions based only on an uncertain score.</w:t>
      </w:r>
    </w:p>
    <w:p>
      <w:pPr>
        <w:jc w:val="center"/>
      </w:pPr>
      <w:r>
        <w:drawing>
          <wp:inline xmlns:a="http://schemas.openxmlformats.org/drawingml/2006/main" xmlns:pic="http://schemas.openxmlformats.org/drawingml/2006/picture">
            <wp:extent cx="6217920" cy="3162161"/>
            <wp:docPr id="1" name="Picture 1"/>
            <wp:cNvGraphicFramePr>
              <a:graphicFrameLocks noChangeAspect="1"/>
            </wp:cNvGraphicFramePr>
            <a:graphic>
              <a:graphicData uri="http://schemas.openxmlformats.org/drawingml/2006/picture">
                <pic:pic>
                  <pic:nvPicPr>
                    <pic:cNvPr id="0" name="week4_scaling_architecture.png"/>
                    <pic:cNvPicPr/>
                  </pic:nvPicPr>
                  <pic:blipFill>
                    <a:blip r:embed="rId9"/>
                    <a:stretch>
                      <a:fillRect/>
                    </a:stretch>
                  </pic:blipFill>
                  <pic:spPr>
                    <a:xfrm>
                      <a:off x="0" y="0"/>
                      <a:ext cx="6217920" cy="3162161"/>
                    </a:xfrm>
                    <a:prstGeom prst="rect"/>
                  </pic:spPr>
                </pic:pic>
              </a:graphicData>
            </a:graphic>
          </wp:inline>
        </w:drawing>
      </w:r>
    </w:p>
    <w:p>
      <w:r>
        <w:t>Figure 1. Proposed scalable architecture: queue buffers bursts; a worker pool processes events independently; telemetry informs scaling; dead-letter handling isolates repeated failures.</w:t>
      </w:r>
    </w:p>
    <w:p>
      <w:pPr>
        <w:pStyle w:val="Heading1"/>
      </w:pPr>
      <w:r>
        <w:t>2. Performance Metrics and Initial Objectives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Metric</w:t>
            </w:r>
          </w:p>
        </w:tc>
        <w:tc>
          <w:tcPr>
            <w:tcW w:type="dxa" w:w="3360"/>
            <w:shd w:fill="CFE2F3"/>
          </w:tcPr>
          <w:p>
            <w:r>
              <w:rPr>
                <w:b/>
                <w:sz w:val="16"/>
              </w:rPr>
              <w:t>Definition / purpose</w:t>
            </w:r>
          </w:p>
        </w:tc>
        <w:tc>
          <w:tcPr>
            <w:tcW w:type="dxa" w:w="3360"/>
            <w:shd w:fill="CFE2F3"/>
          </w:tcPr>
          <w:p>
            <w:r>
              <w:rPr>
                <w:b/>
                <w:sz w:val="16"/>
              </w:rPr>
              <w:t>Proposed initial objective*</w:t>
            </w:r>
          </w:p>
        </w:tc>
      </w:tr>
      <w:tr>
        <w:tc>
          <w:tcPr>
            <w:tcW w:type="dxa" w:w="3360"/>
            <w:vAlign w:val="center"/>
          </w:tcPr>
          <w:p>
            <w:pPr>
              <w:spacing w:after="0"/>
            </w:pPr>
            <w:r>
              <w:rPr>
                <w:sz w:val="16"/>
              </w:rPr>
              <w:t>End-to-end latency</w:t>
            </w:r>
          </w:p>
        </w:tc>
        <w:tc>
          <w:tcPr>
            <w:tcW w:type="dxa" w:w="3360"/>
            <w:vAlign w:val="center"/>
          </w:tcPr>
          <w:p>
            <w:pPr>
              <w:spacing w:after="0"/>
            </w:pPr>
            <w:r>
              <w:rPr>
                <w:sz w:val="16"/>
              </w:rPr>
              <w:t>Time from event acceptance to triage result</w:t>
            </w:r>
          </w:p>
        </w:tc>
        <w:tc>
          <w:tcPr>
            <w:tcW w:type="dxa" w:w="3360"/>
            <w:vAlign w:val="center"/>
          </w:tcPr>
          <w:p>
            <w:pPr>
              <w:spacing w:after="0"/>
            </w:pPr>
            <w:r>
              <w:rPr>
                <w:sz w:val="16"/>
              </w:rPr>
              <w:t>p95 ≤ 2 seconds for the synchronous path; confirm with stakeholders</w:t>
            </w:r>
          </w:p>
        </w:tc>
      </w:tr>
      <w:tr>
        <w:tc>
          <w:tcPr>
            <w:tcW w:type="dxa" w:w="3360"/>
            <w:vAlign w:val="center"/>
          </w:tcPr>
          <w:p>
            <w:pPr>
              <w:spacing w:after="0"/>
            </w:pPr>
            <w:r>
              <w:rPr>
                <w:sz w:val="16"/>
              </w:rPr>
              <w:t>Stage latency</w:t>
            </w:r>
          </w:p>
        </w:tc>
        <w:tc>
          <w:tcPr>
            <w:tcW w:type="dxa" w:w="3360"/>
            <w:vAlign w:val="center"/>
          </w:tcPr>
          <w:p>
            <w:pPr>
              <w:spacing w:after="0"/>
            </w:pPr>
            <w:r>
              <w:rPr>
                <w:sz w:val="16"/>
              </w:rPr>
              <w:t>Time spent in validation, features, inference, policy and storage</w:t>
            </w:r>
          </w:p>
        </w:tc>
        <w:tc>
          <w:tcPr>
            <w:tcW w:type="dxa" w:w="3360"/>
            <w:vAlign w:val="center"/>
          </w:tcPr>
          <w:p>
            <w:pPr>
              <w:spacing w:after="0"/>
            </w:pPr>
            <w:r>
              <w:rPr>
                <w:sz w:val="16"/>
              </w:rPr>
              <w:t>Track p50, p95 and p99 for every stage</w:t>
            </w:r>
          </w:p>
        </w:tc>
      </w:tr>
      <w:tr>
        <w:tc>
          <w:tcPr>
            <w:tcW w:type="dxa" w:w="3360"/>
            <w:vAlign w:val="center"/>
          </w:tcPr>
          <w:p>
            <w:pPr>
              <w:spacing w:after="0"/>
            </w:pPr>
            <w:r>
              <w:rPr>
                <w:sz w:val="16"/>
              </w:rPr>
              <w:t>Throughput</w:t>
            </w:r>
          </w:p>
        </w:tc>
        <w:tc>
          <w:tcPr>
            <w:tcW w:type="dxa" w:w="3360"/>
            <w:vAlign w:val="center"/>
          </w:tcPr>
          <w:p>
            <w:pPr>
              <w:spacing w:after="0"/>
            </w:pPr>
            <w:r>
              <w:rPr>
                <w:sz w:val="16"/>
              </w:rPr>
              <w:t>Successfully processed messages per second/minute</w:t>
            </w:r>
          </w:p>
        </w:tc>
        <w:tc>
          <w:tcPr>
            <w:tcW w:type="dxa" w:w="3360"/>
            <w:vAlign w:val="center"/>
          </w:tcPr>
          <w:p>
            <w:pPr>
              <w:spacing w:after="0"/>
            </w:pPr>
            <w:r>
              <w:rPr>
                <w:sz w:val="16"/>
              </w:rPr>
              <w:t>Baseline first; test at 2× and 5× expected peak</w:t>
            </w:r>
          </w:p>
        </w:tc>
      </w:tr>
      <w:tr>
        <w:tc>
          <w:tcPr>
            <w:tcW w:type="dxa" w:w="3360"/>
            <w:vAlign w:val="center"/>
          </w:tcPr>
          <w:p>
            <w:pPr>
              <w:spacing w:after="0"/>
            </w:pPr>
            <w:r>
              <w:rPr>
                <w:sz w:val="16"/>
              </w:rPr>
              <w:t>Queue age/depth</w:t>
            </w:r>
          </w:p>
        </w:tc>
        <w:tc>
          <w:tcPr>
            <w:tcW w:type="dxa" w:w="3360"/>
            <w:vAlign w:val="center"/>
          </w:tcPr>
          <w:p>
            <w:pPr>
              <w:spacing w:after="0"/>
            </w:pPr>
            <w:r>
              <w:rPr>
                <w:sz w:val="16"/>
              </w:rPr>
              <w:t>Oldest event age and number waiting</w:t>
            </w:r>
          </w:p>
        </w:tc>
        <w:tc>
          <w:tcPr>
            <w:tcW w:type="dxa" w:w="3360"/>
            <w:vAlign w:val="center"/>
          </w:tcPr>
          <w:p>
            <w:pPr>
              <w:spacing w:after="0"/>
            </w:pPr>
            <w:r>
              <w:rPr>
                <w:sz w:val="16"/>
              </w:rPr>
              <w:t>Alert before the oldest event breaches the agreed target</w:t>
            </w:r>
          </w:p>
        </w:tc>
      </w:tr>
      <w:tr>
        <w:tc>
          <w:tcPr>
            <w:tcW w:type="dxa" w:w="3360"/>
            <w:vAlign w:val="center"/>
          </w:tcPr>
          <w:p>
            <w:pPr>
              <w:spacing w:after="0"/>
            </w:pPr>
            <w:r>
              <w:rPr>
                <w:sz w:val="16"/>
              </w:rPr>
              <w:t>Errors/retries</w:t>
            </w:r>
          </w:p>
        </w:tc>
        <w:tc>
          <w:tcPr>
            <w:tcW w:type="dxa" w:w="3360"/>
            <w:vAlign w:val="center"/>
          </w:tcPr>
          <w:p>
            <w:pPr>
              <w:spacing w:after="0"/>
            </w:pPr>
            <w:r>
              <w:rPr>
                <w:sz w:val="16"/>
              </w:rPr>
              <w:t>Failed attempts and repeated processing</w:t>
            </w:r>
          </w:p>
        </w:tc>
        <w:tc>
          <w:tcPr>
            <w:tcW w:type="dxa" w:w="3360"/>
            <w:vAlign w:val="center"/>
          </w:tcPr>
          <w:p>
            <w:pPr>
              <w:spacing w:after="0"/>
            </w:pPr>
            <w:r>
              <w:rPr>
                <w:sz w:val="16"/>
              </w:rPr>
              <w:t>Separate transient errors from invalid input</w:t>
            </w:r>
          </w:p>
        </w:tc>
      </w:tr>
      <w:tr>
        <w:tc>
          <w:tcPr>
            <w:tcW w:type="dxa" w:w="3360"/>
            <w:vAlign w:val="center"/>
          </w:tcPr>
          <w:p>
            <w:pPr>
              <w:spacing w:after="0"/>
            </w:pPr>
            <w:r>
              <w:rPr>
                <w:sz w:val="16"/>
              </w:rPr>
              <w:t>Detection quality</w:t>
            </w:r>
          </w:p>
        </w:tc>
        <w:tc>
          <w:tcPr>
            <w:tcW w:type="dxa" w:w="3360"/>
            <w:vAlign w:val="center"/>
          </w:tcPr>
          <w:p>
            <w:pPr>
              <w:spacing w:after="0"/>
            </w:pPr>
            <w:r>
              <w:rPr>
                <w:sz w:val="16"/>
              </w:rPr>
              <w:t>Precision, recall, F1 and false-positive rate</w:t>
            </w:r>
          </w:p>
        </w:tc>
        <w:tc>
          <w:tcPr>
            <w:tcW w:type="dxa" w:w="3360"/>
            <w:vAlign w:val="center"/>
          </w:tcPr>
          <w:p>
            <w:pPr>
              <w:spacing w:after="0"/>
            </w:pPr>
            <w:r>
              <w:rPr>
                <w:sz w:val="16"/>
              </w:rPr>
              <w:t>Use a labeled validation set; avoid unacceptable regression</w:t>
            </w:r>
          </w:p>
        </w:tc>
      </w:tr>
      <w:tr>
        <w:tc>
          <w:tcPr>
            <w:tcW w:type="dxa" w:w="3360"/>
            <w:vAlign w:val="center"/>
          </w:tcPr>
          <w:p>
            <w:pPr>
              <w:spacing w:after="0"/>
            </w:pPr>
            <w:r>
              <w:rPr>
                <w:sz w:val="16"/>
              </w:rPr>
              <w:t>Resource usage</w:t>
            </w:r>
          </w:p>
        </w:tc>
        <w:tc>
          <w:tcPr>
            <w:tcW w:type="dxa" w:w="3360"/>
            <w:vAlign w:val="center"/>
          </w:tcPr>
          <w:p>
            <w:pPr>
              <w:spacing w:after="0"/>
            </w:pPr>
            <w:r>
              <w:rPr>
                <w:sz w:val="16"/>
              </w:rPr>
              <w:t>CPU, memory, network, disk and inference capacity</w:t>
            </w:r>
          </w:p>
        </w:tc>
        <w:tc>
          <w:tcPr>
            <w:tcW w:type="dxa" w:w="3360"/>
            <w:vAlign w:val="center"/>
          </w:tcPr>
          <w:p>
            <w:pPr>
              <w:spacing w:after="0"/>
            </w:pPr>
            <w:r>
              <w:rPr>
                <w:sz w:val="16"/>
              </w:rPr>
              <w:t>Set limits and alerts based on load tests</w:t>
            </w:r>
          </w:p>
        </w:tc>
      </w:tr>
      <w:tr>
        <w:tc>
          <w:tcPr>
            <w:tcW w:type="dxa" w:w="3360"/>
            <w:vAlign w:val="center"/>
          </w:tcPr>
          <w:p>
            <w:pPr>
              <w:spacing w:after="0"/>
            </w:pPr>
            <w:r>
              <w:rPr>
                <w:sz w:val="16"/>
              </w:rPr>
              <w:t>Analyst workload</w:t>
            </w:r>
          </w:p>
        </w:tc>
        <w:tc>
          <w:tcPr>
            <w:tcW w:type="dxa" w:w="3360"/>
            <w:vAlign w:val="center"/>
          </w:tcPr>
          <w:p>
            <w:pPr>
              <w:spacing w:after="0"/>
            </w:pPr>
            <w:r>
              <w:rPr>
                <w:sz w:val="16"/>
              </w:rPr>
              <w:t>Cases routed for human review</w:t>
            </w:r>
          </w:p>
        </w:tc>
        <w:tc>
          <w:tcPr>
            <w:tcW w:type="dxa" w:w="3360"/>
            <w:vAlign w:val="center"/>
          </w:tcPr>
          <w:p>
            <w:pPr>
              <w:spacing w:after="0"/>
            </w:pPr>
            <w:r>
              <w:rPr>
                <w:sz w:val="16"/>
              </w:rPr>
              <w:t>Track review volume and uncertainty routing</w:t>
            </w:r>
          </w:p>
        </w:tc>
      </w:tr>
    </w:tbl>
    <w:p/>
    <w:p>
      <w:r>
        <w:t>*These are proposed starting points, not guarantees. Agree final service objectives with stakeholders and validate them against representative data.</w:t>
      </w:r>
    </w:p>
    <w:p>
      <w:pPr>
        <w:pStyle w:val="Heading1"/>
      </w:pPr>
      <w:r>
        <w:t>3. Bottleneck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FE2F3"/>
          </w:tcPr>
          <w:p>
            <w:r>
              <w:rPr>
                <w:b/>
                <w:sz w:val="16"/>
              </w:rPr>
              <w:t>Pipeline area</w:t>
            </w:r>
          </w:p>
        </w:tc>
        <w:tc>
          <w:tcPr>
            <w:tcW w:type="dxa" w:w="2520"/>
            <w:shd w:fill="CFE2F3"/>
          </w:tcPr>
          <w:p>
            <w:r>
              <w:rPr>
                <w:b/>
                <w:sz w:val="16"/>
              </w:rPr>
              <w:t>Potential bottleneck</w:t>
            </w:r>
          </w:p>
        </w:tc>
        <w:tc>
          <w:tcPr>
            <w:tcW w:type="dxa" w:w="2520"/>
            <w:shd w:fill="CFE2F3"/>
          </w:tcPr>
          <w:p>
            <w:r>
              <w:rPr>
                <w:b/>
                <w:sz w:val="16"/>
              </w:rPr>
              <w:t>Impact</w:t>
            </w:r>
          </w:p>
        </w:tc>
        <w:tc>
          <w:tcPr>
            <w:tcW w:type="dxa" w:w="2520"/>
            <w:shd w:fill="CFE2F3"/>
          </w:tcPr>
          <w:p>
            <w:r>
              <w:rPr>
                <w:b/>
                <w:sz w:val="16"/>
              </w:rPr>
              <w:t>How to verify</w:t>
            </w:r>
          </w:p>
        </w:tc>
      </w:tr>
      <w:tr>
        <w:tc>
          <w:tcPr>
            <w:tcW w:type="dxa" w:w="2520"/>
            <w:vAlign w:val="center"/>
          </w:tcPr>
          <w:p>
            <w:pPr>
              <w:spacing w:after="0"/>
            </w:pPr>
            <w:r>
              <w:rPr>
                <w:sz w:val="16"/>
              </w:rPr>
              <w:t>Ingestion/validation</w:t>
            </w:r>
          </w:p>
        </w:tc>
        <w:tc>
          <w:tcPr>
            <w:tcW w:type="dxa" w:w="2520"/>
            <w:vAlign w:val="center"/>
          </w:tcPr>
          <w:p>
            <w:pPr>
              <w:spacing w:after="0"/>
            </w:pPr>
            <w:r>
              <w:rPr>
                <w:sz w:val="16"/>
              </w:rPr>
              <w:t>Large payload parsing; synchronous checks</w:t>
            </w:r>
          </w:p>
        </w:tc>
        <w:tc>
          <w:tcPr>
            <w:tcW w:type="dxa" w:w="2520"/>
            <w:vAlign w:val="center"/>
          </w:tcPr>
          <w:p>
            <w:pPr>
              <w:spacing w:after="0"/>
            </w:pPr>
            <w:r>
              <w:rPr>
                <w:sz w:val="16"/>
              </w:rPr>
              <w:t>Slow acceptance; upstream blocking</w:t>
            </w:r>
          </w:p>
        </w:tc>
        <w:tc>
          <w:tcPr>
            <w:tcW w:type="dxa" w:w="2520"/>
            <w:vAlign w:val="center"/>
          </w:tcPr>
          <w:p>
            <w:pPr>
              <w:spacing w:after="0"/>
            </w:pPr>
            <w:r>
              <w:rPr>
                <w:sz w:val="16"/>
              </w:rPr>
              <w:t>Request duration, payload size, rejection count</w:t>
            </w:r>
          </w:p>
        </w:tc>
      </w:tr>
      <w:tr>
        <w:tc>
          <w:tcPr>
            <w:tcW w:type="dxa" w:w="2520"/>
            <w:vAlign w:val="center"/>
          </w:tcPr>
          <w:p>
            <w:pPr>
              <w:spacing w:after="0"/>
            </w:pPr>
            <w:r>
              <w:rPr>
                <w:sz w:val="16"/>
              </w:rPr>
              <w:t>Feature extraction</w:t>
            </w:r>
          </w:p>
        </w:tc>
        <w:tc>
          <w:tcPr>
            <w:tcW w:type="dxa" w:w="2520"/>
            <w:vAlign w:val="center"/>
          </w:tcPr>
          <w:p>
            <w:pPr>
              <w:spacing w:after="0"/>
            </w:pPr>
            <w:r>
              <w:rPr>
                <w:sz w:val="16"/>
              </w:rPr>
              <w:t>Repeated URL/domain parsing or lookups</w:t>
            </w:r>
          </w:p>
        </w:tc>
        <w:tc>
          <w:tcPr>
            <w:tcW w:type="dxa" w:w="2520"/>
            <w:vAlign w:val="center"/>
          </w:tcPr>
          <w:p>
            <w:pPr>
              <w:spacing w:after="0"/>
            </w:pPr>
            <w:r>
              <w:rPr>
                <w:sz w:val="16"/>
              </w:rPr>
              <w:t>CPU and I/O overhead</w:t>
            </w:r>
          </w:p>
        </w:tc>
        <w:tc>
          <w:tcPr>
            <w:tcW w:type="dxa" w:w="2520"/>
            <w:vAlign w:val="center"/>
          </w:tcPr>
          <w:p>
            <w:pPr>
              <w:spacing w:after="0"/>
            </w:pPr>
            <w:r>
              <w:rPr>
                <w:sz w:val="16"/>
              </w:rPr>
              <w:t>Profile hot functions; cache hit rate</w:t>
            </w:r>
          </w:p>
        </w:tc>
      </w:tr>
      <w:tr>
        <w:tc>
          <w:tcPr>
            <w:tcW w:type="dxa" w:w="2520"/>
            <w:vAlign w:val="center"/>
          </w:tcPr>
          <w:p>
            <w:pPr>
              <w:spacing w:after="0"/>
            </w:pPr>
            <w:r>
              <w:rPr>
                <w:sz w:val="16"/>
              </w:rPr>
              <w:t>Model scoring</w:t>
            </w:r>
          </w:p>
        </w:tc>
        <w:tc>
          <w:tcPr>
            <w:tcW w:type="dxa" w:w="2520"/>
            <w:vAlign w:val="center"/>
          </w:tcPr>
          <w:p>
            <w:pPr>
              <w:spacing w:after="0"/>
            </w:pPr>
            <w:r>
              <w:rPr>
                <w:sz w:val="16"/>
              </w:rPr>
              <w:t>Large model, cold starts, remote inference</w:t>
            </w:r>
          </w:p>
        </w:tc>
        <w:tc>
          <w:tcPr>
            <w:tcW w:type="dxa" w:w="2520"/>
            <w:vAlign w:val="center"/>
          </w:tcPr>
          <w:p>
            <w:pPr>
              <w:spacing w:after="0"/>
            </w:pPr>
            <w:r>
              <w:rPr>
                <w:sz w:val="16"/>
              </w:rPr>
              <w:t>Tail latency and worker saturation</w:t>
            </w:r>
          </w:p>
        </w:tc>
        <w:tc>
          <w:tcPr>
            <w:tcW w:type="dxa" w:w="2520"/>
            <w:vAlign w:val="center"/>
          </w:tcPr>
          <w:p>
            <w:pPr>
              <w:spacing w:after="0"/>
            </w:pPr>
            <w:r>
              <w:rPr>
                <w:sz w:val="16"/>
              </w:rPr>
              <w:t>Inference p50/p95/p99; local vs remote test</w:t>
            </w:r>
          </w:p>
        </w:tc>
      </w:tr>
      <w:tr>
        <w:tc>
          <w:tcPr>
            <w:tcW w:type="dxa" w:w="2520"/>
            <w:vAlign w:val="center"/>
          </w:tcPr>
          <w:p>
            <w:pPr>
              <w:spacing w:after="0"/>
            </w:pPr>
            <w:r>
              <w:rPr>
                <w:sz w:val="16"/>
              </w:rPr>
              <w:t>External services</w:t>
            </w:r>
          </w:p>
        </w:tc>
        <w:tc>
          <w:tcPr>
            <w:tcW w:type="dxa" w:w="2520"/>
            <w:vAlign w:val="center"/>
          </w:tcPr>
          <w:p>
            <w:pPr>
              <w:spacing w:after="0"/>
            </w:pPr>
            <w:r>
              <w:rPr>
                <w:sz w:val="16"/>
              </w:rPr>
              <w:t>Rate limits, network delay, outages</w:t>
            </w:r>
          </w:p>
        </w:tc>
        <w:tc>
          <w:tcPr>
            <w:tcW w:type="dxa" w:w="2520"/>
            <w:vAlign w:val="center"/>
          </w:tcPr>
          <w:p>
            <w:pPr>
              <w:spacing w:after="0"/>
            </w:pPr>
            <w:r>
              <w:rPr>
                <w:sz w:val="16"/>
              </w:rPr>
              <w:t>Stalls and retry storms</w:t>
            </w:r>
          </w:p>
        </w:tc>
        <w:tc>
          <w:tcPr>
            <w:tcW w:type="dxa" w:w="2520"/>
            <w:vAlign w:val="center"/>
          </w:tcPr>
          <w:p>
            <w:pPr>
              <w:spacing w:after="0"/>
            </w:pPr>
            <w:r>
              <w:rPr>
                <w:sz w:val="16"/>
              </w:rPr>
              <w:t>Timeout, rate-limit and dependency-error metrics</w:t>
            </w:r>
          </w:p>
        </w:tc>
      </w:tr>
      <w:tr>
        <w:tc>
          <w:tcPr>
            <w:tcW w:type="dxa" w:w="2520"/>
            <w:vAlign w:val="center"/>
          </w:tcPr>
          <w:p>
            <w:pPr>
              <w:spacing w:after="0"/>
            </w:pPr>
            <w:r>
              <w:rPr>
                <w:sz w:val="16"/>
              </w:rPr>
              <w:t>Storage</w:t>
            </w:r>
          </w:p>
        </w:tc>
        <w:tc>
          <w:tcPr>
            <w:tcW w:type="dxa" w:w="2520"/>
            <w:vAlign w:val="center"/>
          </w:tcPr>
          <w:p>
            <w:pPr>
              <w:spacing w:after="0"/>
            </w:pPr>
            <w:r>
              <w:rPr>
                <w:sz w:val="16"/>
              </w:rPr>
              <w:t>Unindexed queries, write contention</w:t>
            </w:r>
          </w:p>
        </w:tc>
        <w:tc>
          <w:tcPr>
            <w:tcW w:type="dxa" w:w="2520"/>
            <w:vAlign w:val="center"/>
          </w:tcPr>
          <w:p>
            <w:pPr>
              <w:spacing w:after="0"/>
            </w:pPr>
            <w:r>
              <w:rPr>
                <w:sz w:val="16"/>
              </w:rPr>
              <w:t>Slow case persistence; queue growth</w:t>
            </w:r>
          </w:p>
        </w:tc>
        <w:tc>
          <w:tcPr>
            <w:tcW w:type="dxa" w:w="2520"/>
            <w:vAlign w:val="center"/>
          </w:tcPr>
          <w:p>
            <w:pPr>
              <w:spacing w:after="0"/>
            </w:pPr>
            <w:r>
              <w:rPr>
                <w:sz w:val="16"/>
              </w:rPr>
              <w:t>Query plans, connection pools, write latency</w:t>
            </w:r>
          </w:p>
        </w:tc>
      </w:tr>
      <w:tr>
        <w:tc>
          <w:tcPr>
            <w:tcW w:type="dxa" w:w="2520"/>
            <w:vAlign w:val="center"/>
          </w:tcPr>
          <w:p>
            <w:pPr>
              <w:spacing w:after="0"/>
            </w:pPr>
            <w:r>
              <w:rPr>
                <w:sz w:val="16"/>
              </w:rPr>
              <w:t>Retries/duplicates</w:t>
            </w:r>
          </w:p>
        </w:tc>
        <w:tc>
          <w:tcPr>
            <w:tcW w:type="dxa" w:w="2520"/>
            <w:vAlign w:val="center"/>
          </w:tcPr>
          <w:p>
            <w:pPr>
              <w:spacing w:after="0"/>
            </w:pPr>
            <w:r>
              <w:rPr>
                <w:sz w:val="16"/>
              </w:rPr>
              <w:t>Unbounded retries; no idempotency key</w:t>
            </w:r>
          </w:p>
        </w:tc>
        <w:tc>
          <w:tcPr>
            <w:tcW w:type="dxa" w:w="2520"/>
            <w:vAlign w:val="center"/>
          </w:tcPr>
          <w:p>
            <w:pPr>
              <w:spacing w:after="0"/>
            </w:pPr>
            <w:r>
              <w:rPr>
                <w:sz w:val="16"/>
              </w:rPr>
              <w:t>Amplified traffic and duplicate alerts</w:t>
            </w:r>
          </w:p>
        </w:tc>
        <w:tc>
          <w:tcPr>
            <w:tcW w:type="dxa" w:w="2520"/>
            <w:vAlign w:val="center"/>
          </w:tcPr>
          <w:p>
            <w:pPr>
              <w:spacing w:after="0"/>
            </w:pPr>
            <w:r>
              <w:rPr>
                <w:sz w:val="16"/>
              </w:rPr>
              <w:t>Retry count, duplicate rate, dead-letter count</w:t>
            </w:r>
          </w:p>
        </w:tc>
      </w:tr>
      <w:tr>
        <w:tc>
          <w:tcPr>
            <w:tcW w:type="dxa" w:w="2520"/>
            <w:vAlign w:val="center"/>
          </w:tcPr>
          <w:p>
            <w:pPr>
              <w:spacing w:after="0"/>
            </w:pPr>
            <w:r>
              <w:rPr>
                <w:sz w:val="16"/>
              </w:rPr>
              <w:t>Human-review integration</w:t>
            </w:r>
          </w:p>
        </w:tc>
        <w:tc>
          <w:tcPr>
            <w:tcW w:type="dxa" w:w="2520"/>
            <w:vAlign w:val="center"/>
          </w:tcPr>
          <w:p>
            <w:pPr>
              <w:spacing w:after="0"/>
            </w:pPr>
            <w:r>
              <w:rPr>
                <w:sz w:val="16"/>
              </w:rPr>
              <w:t>Synchronous ticket/notification calls</w:t>
            </w:r>
          </w:p>
        </w:tc>
        <w:tc>
          <w:tcPr>
            <w:tcW w:type="dxa" w:w="2520"/>
            <w:vAlign w:val="center"/>
          </w:tcPr>
          <w:p>
            <w:pPr>
              <w:spacing w:after="0"/>
            </w:pPr>
            <w:r>
              <w:rPr>
                <w:sz w:val="16"/>
              </w:rPr>
              <w:t>Scoring path waits on downstream system</w:t>
            </w:r>
          </w:p>
        </w:tc>
        <w:tc>
          <w:tcPr>
            <w:tcW w:type="dxa" w:w="2520"/>
            <w:vAlign w:val="center"/>
          </w:tcPr>
          <w:p>
            <w:pPr>
              <w:spacing w:after="0"/>
            </w:pPr>
            <w:r>
              <w:rPr>
                <w:sz w:val="16"/>
              </w:rPr>
              <w:t>Measure notification latency separately</w:t>
            </w:r>
          </w:p>
        </w:tc>
      </w:tr>
    </w:tbl>
    <w:p/>
    <w:p>
      <w:pPr>
        <w:pStyle w:val="Heading1"/>
      </w:pPr>
      <w:r>
        <w:t>4. Optimization Strategies</w:t>
      </w:r>
    </w:p>
    <w:p>
      <w:pPr>
        <w:pStyle w:val="Heading2"/>
      </w:pPr>
      <w:r>
        <w:t>4.1 Measure before changing</w:t>
      </w:r>
    </w:p>
    <w:p>
      <w:pPr>
        <w:pStyle w:val="ListBullet"/>
      </w:pPr>
      <w:r>
        <w:t>Capture a baseline using privacy-safe representative samples and a fixed environment.</w:t>
      </w:r>
    </w:p>
    <w:p>
      <w:pPr>
        <w:pStyle w:val="ListBullet"/>
      </w:pPr>
      <w:r>
        <w:t>Measure each stage independently; use p50/p95/p99 rather than averages alone.</w:t>
      </w:r>
    </w:p>
    <w:p>
      <w:pPr>
        <w:pStyle w:val="ListBullet"/>
      </w:pPr>
      <w:r>
        <w:t>Use profiling and distributed tracing to identify real hot paths; do not assume inference is always slowest.</w:t>
      </w:r>
    </w:p>
    <w:p>
      <w:pPr>
        <w:pStyle w:val="ListBullet"/>
      </w:pPr>
      <w:r>
        <w:t>Record data volume, concurrency, versions, hardware and configuration for reproducibility.</w:t>
      </w:r>
    </w:p>
    <w:p>
      <w:pPr>
        <w:pStyle w:val="Heading2"/>
      </w:pPr>
      <w:r>
        <w:t>4.2 Reduce unnecessary work</w:t>
      </w:r>
    </w:p>
    <w:p>
      <w:pPr>
        <w:pStyle w:val="ListBullet"/>
      </w:pPr>
      <w:r>
        <w:t>Normalize input once and reuse normalized fields.</w:t>
      </w:r>
    </w:p>
    <w:p>
      <w:pPr>
        <w:pStyle w:val="ListBullet"/>
      </w:pPr>
      <w:r>
        <w:t>Use bounded caching for safe reusable lookups, with expiry and stale-data controls.</w:t>
      </w:r>
    </w:p>
    <w:p>
      <w:pPr>
        <w:pStyle w:val="ListBullet"/>
      </w:pPr>
      <w:r>
        <w:t>Avoid copying large email bodies repeatedly; retain only necessary evidence.</w:t>
      </w:r>
    </w:p>
    <w:p>
      <w:pPr>
        <w:pStyle w:val="ListBullet"/>
      </w:pPr>
      <w:r>
        <w:t>Batch only when it does not violate latency goals or delay urgent cases.</w:t>
      </w:r>
    </w:p>
    <w:p>
      <w:pPr>
        <w:pStyle w:val="ListBullet"/>
      </w:pPr>
      <w:r>
        <w:t>Use a lightweight first-stage check for obvious cases and route uncertain cases to the fuller model or human review.</w:t>
      </w:r>
    </w:p>
    <w:p>
      <w:pPr>
        <w:pStyle w:val="Heading2"/>
      </w:pPr>
      <w:r>
        <w:t>4.3 Parallel processing and load balancing</w:t>
      </w:r>
    </w:p>
    <w:p>
      <w:pPr>
        <w:pStyle w:val="ListBullet"/>
      </w:pPr>
      <w:r>
        <w:t>Keep workers stateless where possible so replicas can process separate messages.</w:t>
      </w:r>
    </w:p>
    <w:p>
      <w:pPr>
        <w:pStyle w:val="ListBullet"/>
      </w:pPr>
      <w:r>
        <w:t>Partition messages by a stable key only when ordering is required.</w:t>
      </w:r>
    </w:p>
    <w:p>
      <w:pPr>
        <w:pStyle w:val="ListBullet"/>
      </w:pPr>
      <w:r>
        <w:t>Set per-worker concurrency limits from measured CPU, memory, connection pools and API quotas.</w:t>
      </w:r>
    </w:p>
    <w:p>
      <w:pPr>
        <w:pStyle w:val="ListBullet"/>
      </w:pPr>
      <w:r>
        <w:t>Send requests only to healthy inference instances; use health checks.</w:t>
      </w:r>
    </w:p>
    <w:p>
      <w:pPr>
        <w:pStyle w:val="ListBullet"/>
      </w:pPr>
      <w:r>
        <w:t>Apply back-pressure: queue bursts safely instead of exhausting memory or overwhelming downstream systems.</w:t>
      </w:r>
    </w:p>
    <w:p>
      <w:pPr>
        <w:pStyle w:val="Heading2"/>
      </w:pPr>
      <w:r>
        <w:t>4.4 Model and inference optimization</w:t>
      </w:r>
    </w:p>
    <w:p>
      <w:pPr>
        <w:pStyle w:val="ListBullet"/>
      </w:pPr>
      <w:r>
        <w:t>Compare simpler and larger models on the same labeled validation set, balancing quality, latency and cost.</w:t>
      </w:r>
    </w:p>
    <w:p>
      <w:pPr>
        <w:pStyle w:val="ListBullet"/>
      </w:pPr>
      <w:r>
        <w:t>Consider quantization, pruning, distillation or optimized runtimes only when supported and tested for quality regression.</w:t>
      </w:r>
    </w:p>
    <w:p>
      <w:pPr>
        <w:pStyle w:val="ListBullet"/>
      </w:pPr>
      <w:r>
        <w:t>Reuse loaded model instances to avoid per-message initialization.</w:t>
      </w:r>
    </w:p>
    <w:p>
      <w:pPr>
        <w:pStyle w:val="ListBullet"/>
      </w:pPr>
      <w:r>
        <w:t>Use a defined uncertainty band; ambiguous/high-risk cases should go to analyst review.</w:t>
      </w:r>
    </w:p>
    <w:p>
      <w:pPr>
        <w:pStyle w:val="ListBullet"/>
      </w:pPr>
      <w:r>
        <w:t>Never improve speed by silently removing security checks or accepting unacceptable detection-quality loss.</w:t>
      </w:r>
    </w:p>
    <w:p>
      <w:pPr>
        <w:pStyle w:val="Heading2"/>
      </w:pPr>
      <w:r>
        <w:t>4.5 Resilience and resource management</w:t>
      </w:r>
    </w:p>
    <w:p>
      <w:pPr>
        <w:pStyle w:val="ListBullet"/>
      </w:pPr>
      <w:r>
        <w:t>Set timeouts for external calls; use exponential backoff with jitter for transient failures.</w:t>
      </w:r>
    </w:p>
    <w:p>
      <w:pPr>
        <w:pStyle w:val="ListBullet"/>
      </w:pPr>
      <w:r>
        <w:t>Use a dead-letter queue for malformed or repeatedly failing messages, with a safe replay procedure.</w:t>
      </w:r>
    </w:p>
    <w:p>
      <w:pPr>
        <w:pStyle w:val="ListBullet"/>
      </w:pPr>
      <w:r>
        <w:t>Make processing idempotent using a stable event ID so retries do not create duplicate incidents.</w:t>
      </w:r>
    </w:p>
    <w:p>
      <w:pPr>
        <w:pStyle w:val="ListBullet"/>
      </w:pPr>
      <w:r>
        <w:t>Set memory, connection-pool and concurrency limits; reserve capacity for urgent events.</w:t>
      </w:r>
    </w:p>
    <w:p>
      <w:pPr>
        <w:pStyle w:val="ListBullet"/>
      </w:pPr>
      <w:r>
        <w:t>Scale based on queue age/depth and latency as well as CPU; use cooldown periods to avoid autoscaling thrash.</w:t>
      </w:r>
    </w:p>
    <w:p>
      <w:pPr>
        <w:pStyle w:val="Heading1"/>
      </w:pPr>
      <w:r>
        <w:t>5. Baseline vs Proposed Optimization Target</w:t>
      </w:r>
    </w:p>
    <w:p>
      <w:r>
        <w:t>The values below are a planning scenario: profiling and engineering changes reduce repeated work, improve concurrency and isolate slow services. They are not measured outputs; actual gains depend on input size, model, hardware, network and dependencies.</w:t>
      </w:r>
    </w:p>
    <w:p>
      <w:pPr>
        <w:jc w:val="center"/>
      </w:pPr>
      <w:r>
        <w:drawing>
          <wp:inline xmlns:a="http://schemas.openxmlformats.org/drawingml/2006/main" xmlns:pic="http://schemas.openxmlformats.org/drawingml/2006/picture">
            <wp:extent cx="6217920" cy="3316224"/>
            <wp:docPr id="2" name="Picture 2"/>
            <wp:cNvGraphicFramePr>
              <a:graphicFrameLocks noChangeAspect="1"/>
            </wp:cNvGraphicFramePr>
            <a:graphic>
              <a:graphicData uri="http://schemas.openxmlformats.org/drawingml/2006/picture">
                <pic:pic>
                  <pic:nvPicPr>
                    <pic:cNvPr id="0" name="week4_latency_comparison.png"/>
                    <pic:cNvPicPr/>
                  </pic:nvPicPr>
                  <pic:blipFill>
                    <a:blip r:embed="rId10"/>
                    <a:stretch>
                      <a:fillRect/>
                    </a:stretch>
                  </pic:blipFill>
                  <pic:spPr>
                    <a:xfrm>
                      <a:off x="0" y="0"/>
                      <a:ext cx="6217920" cy="3316224"/>
                    </a:xfrm>
                    <a:prstGeom prst="rect"/>
                  </pic:spPr>
                </pic:pic>
              </a:graphicData>
            </a:graphic>
          </wp:inline>
        </w:drawing>
      </w:r>
    </w:p>
    <w:p>
      <w:r>
        <w:t>Figure 2. Illustrative stage latency budget. Total latency changes from 225 ms to 130 ms in this scenario (about 42% lower). Include queue wait time when measuring actual end-to-end latency.</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week4_throughput_comparison.png"/>
                    <pic:cNvPicPr/>
                  </pic:nvPicPr>
                  <pic:blipFill>
                    <a:blip r:embed="rId11"/>
                    <a:stretch>
                      <a:fillRect/>
                    </a:stretch>
                  </pic:blipFill>
                  <pic:spPr>
                    <a:xfrm>
                      <a:off x="0" y="0"/>
                      <a:ext cx="5943600" cy="3343275"/>
                    </a:xfrm>
                    <a:prstGeom prst="rect"/>
                  </pic:spPr>
                </pic:pic>
              </a:graphicData>
            </a:graphic>
          </wp:inline>
        </w:drawing>
      </w:r>
    </w:p>
    <w:p>
      <w:r>
        <w:t>Figure 3. Illustrative throughput scenario. Adding workers and queue buffering can increase capacity, but scaling may stop being linear due to CPU, storage, API or inference limits.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CFE2F3"/>
          </w:tcPr>
          <w:p>
            <w:r>
              <w:rPr>
                <w:b/>
                <w:sz w:val="16"/>
              </w:rPr>
              <w:t>Area</w:t>
            </w:r>
          </w:p>
        </w:tc>
        <w:tc>
          <w:tcPr>
            <w:tcW w:type="dxa" w:w="2016"/>
            <w:shd w:fill="CFE2F3"/>
          </w:tcPr>
          <w:p>
            <w:r>
              <w:rPr>
                <w:b/>
                <w:sz w:val="16"/>
              </w:rPr>
              <w:t>Conceptual baseline</w:t>
            </w:r>
          </w:p>
        </w:tc>
        <w:tc>
          <w:tcPr>
            <w:tcW w:type="dxa" w:w="2016"/>
            <w:shd w:fill="CFE2F3"/>
          </w:tcPr>
          <w:p>
            <w:r>
              <w:rPr>
                <w:b/>
                <w:sz w:val="16"/>
              </w:rPr>
              <w:t>Proposed change</w:t>
            </w:r>
          </w:p>
        </w:tc>
        <w:tc>
          <w:tcPr>
            <w:tcW w:type="dxa" w:w="2016"/>
            <w:shd w:fill="CFE2F3"/>
          </w:tcPr>
          <w:p>
            <w:r>
              <w:rPr>
                <w:b/>
                <w:sz w:val="16"/>
              </w:rPr>
              <w:t>Potential benefit</w:t>
            </w:r>
          </w:p>
        </w:tc>
        <w:tc>
          <w:tcPr>
            <w:tcW w:type="dxa" w:w="2016"/>
            <w:shd w:fill="CFE2F3"/>
          </w:tcPr>
          <w:p>
            <w:r>
              <w:rPr>
                <w:b/>
                <w:sz w:val="16"/>
              </w:rPr>
              <w:t>Trade-off</w:t>
            </w:r>
          </w:p>
        </w:tc>
      </w:tr>
      <w:tr>
        <w:tc>
          <w:tcPr>
            <w:tcW w:type="dxa" w:w="2016"/>
            <w:vAlign w:val="center"/>
          </w:tcPr>
          <w:p>
            <w:pPr>
              <w:spacing w:after="0"/>
            </w:pPr>
            <w:r>
              <w:rPr>
                <w:sz w:val="16"/>
              </w:rPr>
              <w:t>Processing</w:t>
            </w:r>
          </w:p>
        </w:tc>
        <w:tc>
          <w:tcPr>
            <w:tcW w:type="dxa" w:w="2016"/>
            <w:vAlign w:val="center"/>
          </w:tcPr>
          <w:p>
            <w:pPr>
              <w:spacing w:after="0"/>
            </w:pPr>
            <w:r>
              <w:rPr>
                <w:sz w:val="16"/>
              </w:rPr>
              <w:t>Sequential path</w:t>
            </w:r>
          </w:p>
        </w:tc>
        <w:tc>
          <w:tcPr>
            <w:tcW w:type="dxa" w:w="2016"/>
            <w:vAlign w:val="center"/>
          </w:tcPr>
          <w:p>
            <w:pPr>
              <w:spacing w:after="0"/>
            </w:pPr>
            <w:r>
              <w:rPr>
                <w:sz w:val="16"/>
              </w:rPr>
              <w:t>Parallel stateless workers</w:t>
            </w:r>
          </w:p>
        </w:tc>
        <w:tc>
          <w:tcPr>
            <w:tcW w:type="dxa" w:w="2016"/>
            <w:vAlign w:val="center"/>
          </w:tcPr>
          <w:p>
            <w:pPr>
              <w:spacing w:after="0"/>
            </w:pPr>
            <w:r>
              <w:rPr>
                <w:sz w:val="16"/>
              </w:rPr>
              <w:t>More concurrency</w:t>
            </w:r>
          </w:p>
        </w:tc>
        <w:tc>
          <w:tcPr>
            <w:tcW w:type="dxa" w:w="2016"/>
            <w:vAlign w:val="center"/>
          </w:tcPr>
          <w:p>
            <w:pPr>
              <w:spacing w:after="0"/>
            </w:pPr>
            <w:r>
              <w:rPr>
                <w:sz w:val="16"/>
              </w:rPr>
              <w:t>Resource contention</w:t>
            </w:r>
          </w:p>
        </w:tc>
      </w:tr>
      <w:tr>
        <w:tc>
          <w:tcPr>
            <w:tcW w:type="dxa" w:w="2016"/>
            <w:vAlign w:val="center"/>
          </w:tcPr>
          <w:p>
            <w:pPr>
              <w:spacing w:after="0"/>
            </w:pPr>
            <w:r>
              <w:rPr>
                <w:sz w:val="16"/>
              </w:rPr>
              <w:t>Burst handling</w:t>
            </w:r>
          </w:p>
        </w:tc>
        <w:tc>
          <w:tcPr>
            <w:tcW w:type="dxa" w:w="2016"/>
            <w:vAlign w:val="center"/>
          </w:tcPr>
          <w:p>
            <w:pPr>
              <w:spacing w:after="0"/>
            </w:pPr>
            <w:r>
              <w:rPr>
                <w:sz w:val="16"/>
              </w:rPr>
              <w:t>Synchronous coupling</w:t>
            </w:r>
          </w:p>
        </w:tc>
        <w:tc>
          <w:tcPr>
            <w:tcW w:type="dxa" w:w="2016"/>
            <w:vAlign w:val="center"/>
          </w:tcPr>
          <w:p>
            <w:pPr>
              <w:spacing w:after="0"/>
            </w:pPr>
            <w:r>
              <w:rPr>
                <w:sz w:val="16"/>
              </w:rPr>
              <w:t>Durable queue and back-pressure</w:t>
            </w:r>
          </w:p>
        </w:tc>
        <w:tc>
          <w:tcPr>
            <w:tcW w:type="dxa" w:w="2016"/>
            <w:vAlign w:val="center"/>
          </w:tcPr>
          <w:p>
            <w:pPr>
              <w:spacing w:after="0"/>
            </w:pPr>
            <w:r>
              <w:rPr>
                <w:sz w:val="16"/>
              </w:rPr>
              <w:t>Absorbs traffic spikes</w:t>
            </w:r>
          </w:p>
        </w:tc>
        <w:tc>
          <w:tcPr>
            <w:tcW w:type="dxa" w:w="2016"/>
            <w:vAlign w:val="center"/>
          </w:tcPr>
          <w:p>
            <w:pPr>
              <w:spacing w:after="0"/>
            </w:pPr>
            <w:r>
              <w:rPr>
                <w:sz w:val="16"/>
              </w:rPr>
              <w:t>More operational complexity</w:t>
            </w:r>
          </w:p>
        </w:tc>
      </w:tr>
      <w:tr>
        <w:tc>
          <w:tcPr>
            <w:tcW w:type="dxa" w:w="2016"/>
            <w:vAlign w:val="center"/>
          </w:tcPr>
          <w:p>
            <w:pPr>
              <w:spacing w:after="0"/>
            </w:pPr>
            <w:r>
              <w:rPr>
                <w:sz w:val="16"/>
              </w:rPr>
              <w:t>Feature work</w:t>
            </w:r>
          </w:p>
        </w:tc>
        <w:tc>
          <w:tcPr>
            <w:tcW w:type="dxa" w:w="2016"/>
            <w:vAlign w:val="center"/>
          </w:tcPr>
          <w:p>
            <w:pPr>
              <w:spacing w:after="0"/>
            </w:pPr>
            <w:r>
              <w:rPr>
                <w:sz w:val="16"/>
              </w:rPr>
              <w:t>Possible repeated parsing/lookups</w:t>
            </w:r>
          </w:p>
        </w:tc>
        <w:tc>
          <w:tcPr>
            <w:tcW w:type="dxa" w:w="2016"/>
            <w:vAlign w:val="center"/>
          </w:tcPr>
          <w:p>
            <w:pPr>
              <w:spacing w:after="0"/>
            </w:pPr>
            <w:r>
              <w:rPr>
                <w:sz w:val="16"/>
              </w:rPr>
              <w:t>Normalize once; bounded cache</w:t>
            </w:r>
          </w:p>
        </w:tc>
        <w:tc>
          <w:tcPr>
            <w:tcW w:type="dxa" w:w="2016"/>
            <w:vAlign w:val="center"/>
          </w:tcPr>
          <w:p>
            <w:pPr>
              <w:spacing w:after="0"/>
            </w:pPr>
            <w:r>
              <w:rPr>
                <w:sz w:val="16"/>
              </w:rPr>
              <w:t>Less CPU/network work</w:t>
            </w:r>
          </w:p>
        </w:tc>
        <w:tc>
          <w:tcPr>
            <w:tcW w:type="dxa" w:w="2016"/>
            <w:vAlign w:val="center"/>
          </w:tcPr>
          <w:p>
            <w:pPr>
              <w:spacing w:after="0"/>
            </w:pPr>
            <w:r>
              <w:rPr>
                <w:sz w:val="16"/>
              </w:rPr>
              <w:t>Cache staleness</w:t>
            </w:r>
          </w:p>
        </w:tc>
      </w:tr>
      <w:tr>
        <w:tc>
          <w:tcPr>
            <w:tcW w:type="dxa" w:w="2016"/>
            <w:vAlign w:val="center"/>
          </w:tcPr>
          <w:p>
            <w:pPr>
              <w:spacing w:after="0"/>
            </w:pPr>
            <w:r>
              <w:rPr>
                <w:sz w:val="16"/>
              </w:rPr>
              <w:t>Inference</w:t>
            </w:r>
          </w:p>
        </w:tc>
        <w:tc>
          <w:tcPr>
            <w:tcW w:type="dxa" w:w="2016"/>
            <w:vAlign w:val="center"/>
          </w:tcPr>
          <w:p>
            <w:pPr>
              <w:spacing w:after="0"/>
            </w:pPr>
            <w:r>
              <w:rPr>
                <w:sz w:val="16"/>
              </w:rPr>
              <w:t>One default scoring path</w:t>
            </w:r>
          </w:p>
        </w:tc>
        <w:tc>
          <w:tcPr>
            <w:tcW w:type="dxa" w:w="2016"/>
            <w:vAlign w:val="center"/>
          </w:tcPr>
          <w:p>
            <w:pPr>
              <w:spacing w:after="0"/>
            </w:pPr>
            <w:r>
              <w:rPr>
                <w:sz w:val="16"/>
              </w:rPr>
              <w:t>Warm model; benchmark compact model/runtime</w:t>
            </w:r>
          </w:p>
        </w:tc>
        <w:tc>
          <w:tcPr>
            <w:tcW w:type="dxa" w:w="2016"/>
            <w:vAlign w:val="center"/>
          </w:tcPr>
          <w:p>
            <w:pPr>
              <w:spacing w:after="0"/>
            </w:pPr>
            <w:r>
              <w:rPr>
                <w:sz w:val="16"/>
              </w:rPr>
              <w:t>Potentially lower latency/cost</w:t>
            </w:r>
          </w:p>
        </w:tc>
        <w:tc>
          <w:tcPr>
            <w:tcW w:type="dxa" w:w="2016"/>
            <w:vAlign w:val="center"/>
          </w:tcPr>
          <w:p>
            <w:pPr>
              <w:spacing w:after="0"/>
            </w:pPr>
            <w:r>
              <w:rPr>
                <w:sz w:val="16"/>
              </w:rPr>
              <w:t>Quality must be revalidated</w:t>
            </w:r>
          </w:p>
        </w:tc>
      </w:tr>
      <w:tr>
        <w:tc>
          <w:tcPr>
            <w:tcW w:type="dxa" w:w="2016"/>
            <w:vAlign w:val="center"/>
          </w:tcPr>
          <w:p>
            <w:pPr>
              <w:spacing w:after="0"/>
            </w:pPr>
            <w:r>
              <w:rPr>
                <w:sz w:val="16"/>
              </w:rPr>
              <w:t>Failure handling</w:t>
            </w:r>
          </w:p>
        </w:tc>
        <w:tc>
          <w:tcPr>
            <w:tcW w:type="dxa" w:w="2016"/>
            <w:vAlign w:val="center"/>
          </w:tcPr>
          <w:p>
            <w:pPr>
              <w:spacing w:after="0"/>
            </w:pPr>
            <w:r>
              <w:rPr>
                <w:sz w:val="16"/>
              </w:rPr>
              <w:t>Retries may repeat work</w:t>
            </w:r>
          </w:p>
        </w:tc>
        <w:tc>
          <w:tcPr>
            <w:tcW w:type="dxa" w:w="2016"/>
            <w:vAlign w:val="center"/>
          </w:tcPr>
          <w:p>
            <w:pPr>
              <w:spacing w:after="0"/>
            </w:pPr>
            <w:r>
              <w:rPr>
                <w:sz w:val="16"/>
              </w:rPr>
              <w:t>Timeouts, jitter, idempotency, dead-letter queue</w:t>
            </w:r>
          </w:p>
        </w:tc>
        <w:tc>
          <w:tcPr>
            <w:tcW w:type="dxa" w:w="2016"/>
            <w:vAlign w:val="center"/>
          </w:tcPr>
          <w:p>
            <w:pPr>
              <w:spacing w:after="0"/>
            </w:pPr>
            <w:r>
              <w:rPr>
                <w:sz w:val="16"/>
              </w:rPr>
              <w:t>Fewer retry storms/duplicates</w:t>
            </w:r>
          </w:p>
        </w:tc>
        <w:tc>
          <w:tcPr>
            <w:tcW w:type="dxa" w:w="2016"/>
            <w:vAlign w:val="center"/>
          </w:tcPr>
          <w:p>
            <w:pPr>
              <w:spacing w:after="0"/>
            </w:pPr>
            <w:r>
              <w:rPr>
                <w:sz w:val="16"/>
              </w:rPr>
              <w:t>Needs replay procedures</w:t>
            </w:r>
          </w:p>
        </w:tc>
      </w:tr>
      <w:tr>
        <w:tc>
          <w:tcPr>
            <w:tcW w:type="dxa" w:w="2016"/>
            <w:vAlign w:val="center"/>
          </w:tcPr>
          <w:p>
            <w:pPr>
              <w:spacing w:after="0"/>
            </w:pPr>
            <w:r>
              <w:rPr>
                <w:sz w:val="16"/>
              </w:rPr>
              <w:t>Operations</w:t>
            </w:r>
          </w:p>
        </w:tc>
        <w:tc>
          <w:tcPr>
            <w:tcW w:type="dxa" w:w="2016"/>
            <w:vAlign w:val="center"/>
          </w:tcPr>
          <w:p>
            <w:pPr>
              <w:spacing w:after="0"/>
            </w:pPr>
            <w:r>
              <w:rPr>
                <w:sz w:val="16"/>
              </w:rPr>
              <w:t>Limited visibility</w:t>
            </w:r>
          </w:p>
        </w:tc>
        <w:tc>
          <w:tcPr>
            <w:tcW w:type="dxa" w:w="2016"/>
            <w:vAlign w:val="center"/>
          </w:tcPr>
          <w:p>
            <w:pPr>
              <w:spacing w:after="0"/>
            </w:pPr>
            <w:r>
              <w:rPr>
                <w:sz w:val="16"/>
              </w:rPr>
              <w:t>Metrics, logs, traces and alerts</w:t>
            </w:r>
          </w:p>
        </w:tc>
        <w:tc>
          <w:tcPr>
            <w:tcW w:type="dxa" w:w="2016"/>
            <w:vAlign w:val="center"/>
          </w:tcPr>
          <w:p>
            <w:pPr>
              <w:spacing w:after="0"/>
            </w:pPr>
            <w:r>
              <w:rPr>
                <w:sz w:val="16"/>
              </w:rPr>
              <w:t>Faster diagnosis</w:t>
            </w:r>
          </w:p>
        </w:tc>
        <w:tc>
          <w:tcPr>
            <w:tcW w:type="dxa" w:w="2016"/>
            <w:vAlign w:val="center"/>
          </w:tcPr>
          <w:p>
            <w:pPr>
              <w:spacing w:after="0"/>
            </w:pPr>
            <w:r>
              <w:rPr>
                <w:sz w:val="16"/>
              </w:rPr>
              <w:t>Telemetry cost/privacy risk</w:t>
            </w:r>
          </w:p>
        </w:tc>
      </w:tr>
    </w:tbl>
    <w:p/>
    <w:p>
      <w:pPr>
        <w:pStyle w:val="Heading1"/>
      </w:pPr>
      <w:r>
        <w:t>6. Scaling Strategy</w:t>
      </w:r>
    </w:p>
    <w:p>
      <w:pPr>
        <w:pStyle w:val="Heading2"/>
      </w:pPr>
      <w:r>
        <w:t>6.1 Horizontal and vertical scaling</w:t>
      </w:r>
    </w:p>
    <w:p>
      <w:r>
        <w:t>Horizontal scaling adds worker replicas and is preferred when messages can be processed independently. Keep workers stateless where practical and store case state durably. It works only while storage, inference and external dependencies can handle added parallel requests.</w:t>
      </w:r>
    </w:p>
    <w:p>
      <w:r>
        <w:t>Vertical scaling adds CPU or memory to a worker or inference instance. It may help when profiling confirms a resource bottleneck, but has a capacity ceiling, can increase cost and may require restarts.</w:t>
      </w:r>
    </w:p>
    <w:p>
      <w:pPr>
        <w:pStyle w:val="Heading2"/>
      </w:pPr>
      <w:r>
        <w:t>6.2 Autoscaling signals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Signal</w:t>
            </w:r>
          </w:p>
        </w:tc>
        <w:tc>
          <w:tcPr>
            <w:tcW w:type="dxa" w:w="3360"/>
            <w:shd w:fill="CFE2F3"/>
          </w:tcPr>
          <w:p>
            <w:r>
              <w:rPr>
                <w:b/>
                <w:sz w:val="16"/>
              </w:rPr>
              <w:t>Interpretation</w:t>
            </w:r>
          </w:p>
        </w:tc>
        <w:tc>
          <w:tcPr>
            <w:tcW w:type="dxa" w:w="3360"/>
            <w:shd w:fill="CFE2F3"/>
          </w:tcPr>
          <w:p>
            <w:r>
              <w:rPr>
                <w:b/>
                <w:sz w:val="16"/>
              </w:rPr>
              <w:t>Guardrail</w:t>
            </w:r>
          </w:p>
        </w:tc>
      </w:tr>
      <w:tr>
        <w:tc>
          <w:tcPr>
            <w:tcW w:type="dxa" w:w="3360"/>
            <w:vAlign w:val="center"/>
          </w:tcPr>
          <w:p>
            <w:pPr>
              <w:spacing w:after="0"/>
            </w:pPr>
            <w:r>
              <w:rPr>
                <w:sz w:val="16"/>
              </w:rPr>
              <w:t>Oldest queue-message age</w:t>
            </w:r>
          </w:p>
        </w:tc>
        <w:tc>
          <w:tcPr>
            <w:tcW w:type="dxa" w:w="3360"/>
            <w:vAlign w:val="center"/>
          </w:tcPr>
          <w:p>
            <w:pPr>
              <w:spacing w:after="0"/>
            </w:pPr>
            <w:r>
              <w:rPr>
                <w:sz w:val="16"/>
              </w:rPr>
              <w:t>Scale up when waiting time trends above target</w:t>
            </w:r>
          </w:p>
        </w:tc>
        <w:tc>
          <w:tcPr>
            <w:tcW w:type="dxa" w:w="3360"/>
            <w:vAlign w:val="center"/>
          </w:tcPr>
          <w:p>
            <w:pPr>
              <w:spacing w:after="0"/>
            </w:pPr>
            <w:r>
              <w:rPr>
                <w:sz w:val="16"/>
              </w:rPr>
              <w:t>Min/max replica limits</w:t>
            </w:r>
          </w:p>
        </w:tc>
      </w:tr>
      <w:tr>
        <w:tc>
          <w:tcPr>
            <w:tcW w:type="dxa" w:w="3360"/>
            <w:vAlign w:val="center"/>
          </w:tcPr>
          <w:p>
            <w:pPr>
              <w:spacing w:after="0"/>
            </w:pPr>
            <w:r>
              <w:rPr>
                <w:sz w:val="16"/>
              </w:rPr>
              <w:t>Queue depth and arrival rate</w:t>
            </w:r>
          </w:p>
        </w:tc>
        <w:tc>
          <w:tcPr>
            <w:tcW w:type="dxa" w:w="3360"/>
            <w:vAlign w:val="center"/>
          </w:tcPr>
          <w:p>
            <w:pPr>
              <w:spacing w:after="0"/>
            </w:pPr>
            <w:r>
              <w:rPr>
                <w:sz w:val="16"/>
              </w:rPr>
              <w:t>Estimate backlog and drain time</w:t>
            </w:r>
          </w:p>
        </w:tc>
        <w:tc>
          <w:tcPr>
            <w:tcW w:type="dxa" w:w="3360"/>
            <w:vAlign w:val="center"/>
          </w:tcPr>
          <w:p>
            <w:pPr>
              <w:spacing w:after="0"/>
            </w:pPr>
            <w:r>
              <w:rPr>
                <w:sz w:val="16"/>
              </w:rPr>
              <w:t>Respect downstream quotas</w:t>
            </w:r>
          </w:p>
        </w:tc>
      </w:tr>
      <w:tr>
        <w:tc>
          <w:tcPr>
            <w:tcW w:type="dxa" w:w="3360"/>
            <w:vAlign w:val="center"/>
          </w:tcPr>
          <w:p>
            <w:pPr>
              <w:spacing w:after="0"/>
            </w:pPr>
            <w:r>
              <w:rPr>
                <w:sz w:val="16"/>
              </w:rPr>
              <w:t>p95 latency</w:t>
            </w:r>
          </w:p>
        </w:tc>
        <w:tc>
          <w:tcPr>
            <w:tcW w:type="dxa" w:w="3360"/>
            <w:vAlign w:val="center"/>
          </w:tcPr>
          <w:p>
            <w:pPr>
              <w:spacing w:after="0"/>
            </w:pPr>
            <w:r>
              <w:rPr>
                <w:sz w:val="16"/>
              </w:rPr>
              <w:t>Indicates user-visible degradation under load</w:t>
            </w:r>
          </w:p>
        </w:tc>
        <w:tc>
          <w:tcPr>
            <w:tcW w:type="dxa" w:w="3360"/>
            <w:vAlign w:val="center"/>
          </w:tcPr>
          <w:p>
            <w:pPr>
              <w:spacing w:after="0"/>
            </w:pPr>
            <w:r>
              <w:rPr>
                <w:sz w:val="16"/>
              </w:rPr>
              <w:t>Combine with queue age and error metrics</w:t>
            </w:r>
          </w:p>
        </w:tc>
      </w:tr>
      <w:tr>
        <w:tc>
          <w:tcPr>
            <w:tcW w:type="dxa" w:w="3360"/>
            <w:vAlign w:val="center"/>
          </w:tcPr>
          <w:p>
            <w:pPr>
              <w:spacing w:after="0"/>
            </w:pPr>
            <w:r>
              <w:rPr>
                <w:sz w:val="16"/>
              </w:rPr>
              <w:t>CPU/memory</w:t>
            </w:r>
          </w:p>
        </w:tc>
        <w:tc>
          <w:tcPr>
            <w:tcW w:type="dxa" w:w="3360"/>
            <w:vAlign w:val="center"/>
          </w:tcPr>
          <w:p>
            <w:pPr>
              <w:spacing w:after="0"/>
            </w:pPr>
            <w:r>
              <w:rPr>
                <w:sz w:val="16"/>
              </w:rPr>
              <w:t>Detects compute saturation</w:t>
            </w:r>
          </w:p>
        </w:tc>
        <w:tc>
          <w:tcPr>
            <w:tcW w:type="dxa" w:w="3360"/>
            <w:vAlign w:val="center"/>
          </w:tcPr>
          <w:p>
            <w:pPr>
              <w:spacing w:after="0"/>
            </w:pPr>
            <w:r>
              <w:rPr>
                <w:sz w:val="16"/>
              </w:rPr>
              <w:t>Cooldowns and memory limits</w:t>
            </w:r>
          </w:p>
        </w:tc>
      </w:tr>
      <w:tr>
        <w:tc>
          <w:tcPr>
            <w:tcW w:type="dxa" w:w="3360"/>
            <w:vAlign w:val="center"/>
          </w:tcPr>
          <w:p>
            <w:pPr>
              <w:spacing w:after="0"/>
            </w:pPr>
            <w:r>
              <w:rPr>
                <w:sz w:val="16"/>
              </w:rPr>
              <w:t>Error/timeout rate</w:t>
            </w:r>
          </w:p>
        </w:tc>
        <w:tc>
          <w:tcPr>
            <w:tcW w:type="dxa" w:w="3360"/>
            <w:vAlign w:val="center"/>
          </w:tcPr>
          <w:p>
            <w:pPr>
              <w:spacing w:after="0"/>
            </w:pPr>
            <w:r>
              <w:rPr>
                <w:sz w:val="16"/>
              </w:rPr>
              <w:t>May indicate overload or dependency outage</w:t>
            </w:r>
          </w:p>
        </w:tc>
        <w:tc>
          <w:tcPr>
            <w:tcW w:type="dxa" w:w="3360"/>
            <w:vAlign w:val="center"/>
          </w:tcPr>
          <w:p>
            <w:pPr>
              <w:spacing w:after="0"/>
            </w:pPr>
            <w:r>
              <w:rPr>
                <w:sz w:val="16"/>
              </w:rPr>
              <w:t>Do not add workers blindly if a dependency is down</w:t>
            </w:r>
          </w:p>
        </w:tc>
      </w:tr>
    </w:tbl>
    <w:p/>
    <w:p>
      <w:pPr>
        <w:pStyle w:val="Heading2"/>
      </w:pPr>
      <w:r>
        <w:t>6.3 Queue and load-balancing design</w:t>
      </w:r>
    </w:p>
    <w:p>
      <w:pPr>
        <w:pStyle w:val="ListBullet"/>
      </w:pPr>
      <w:r>
        <w:t>Distribute work among healthy workers and inference endpoints only.</w:t>
      </w:r>
    </w:p>
    <w:p>
      <w:pPr>
        <w:pStyle w:val="ListBullet"/>
      </w:pPr>
      <w:r>
        <w:t>Set message lease/visibility timeouts longer than expected processing, where supported.</w:t>
      </w:r>
    </w:p>
    <w:p>
      <w:pPr>
        <w:pStyle w:val="ListBullet"/>
      </w:pPr>
      <w:r>
        <w:t>Separate urgent and bulk work if service levels require it.</w:t>
      </w:r>
    </w:p>
    <w:p>
      <w:pPr>
        <w:pStyle w:val="ListBullet"/>
      </w:pPr>
      <w:r>
        <w:t>Protect downstream services with concurrency caps, circuit breakers and rate limits.</w:t>
      </w:r>
    </w:p>
    <w:p>
      <w:pPr>
        <w:pStyle w:val="ListBullet"/>
      </w:pPr>
      <w:r>
        <w:t>Assume at-least-once delivery unless stronger guarantees are verified; make consumers idempotent.</w:t>
      </w:r>
    </w:p>
    <w:p>
      <w:pPr>
        <w:pStyle w:val="Heading1"/>
      </w:pPr>
      <w:r>
        <w:t>7. KPI Dashboard and Validation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FE2F3"/>
          </w:tcPr>
          <w:p>
            <w:r>
              <w:rPr>
                <w:b/>
                <w:sz w:val="16"/>
              </w:rPr>
              <w:t>KPI</w:t>
            </w:r>
          </w:p>
        </w:tc>
        <w:tc>
          <w:tcPr>
            <w:tcW w:type="dxa" w:w="2520"/>
            <w:shd w:fill="CFE2F3"/>
          </w:tcPr>
          <w:p>
            <w:r>
              <w:rPr>
                <w:b/>
                <w:sz w:val="16"/>
              </w:rPr>
              <w:t>Measurement</w:t>
            </w:r>
          </w:p>
        </w:tc>
        <w:tc>
          <w:tcPr>
            <w:tcW w:type="dxa" w:w="2520"/>
            <w:shd w:fill="CFE2F3"/>
          </w:tcPr>
          <w:p>
            <w:r>
              <w:rPr>
                <w:b/>
                <w:sz w:val="16"/>
              </w:rPr>
              <w:t>Test condition</w:t>
            </w:r>
          </w:p>
        </w:tc>
        <w:tc>
          <w:tcPr>
            <w:tcW w:type="dxa" w:w="2520"/>
            <w:shd w:fill="CFE2F3"/>
          </w:tcPr>
          <w:p>
            <w:r>
              <w:rPr>
                <w:b/>
                <w:sz w:val="16"/>
              </w:rPr>
              <w:t>Acceptance approach</w:t>
            </w:r>
          </w:p>
        </w:tc>
      </w:tr>
      <w:tr>
        <w:tc>
          <w:tcPr>
            <w:tcW w:type="dxa" w:w="2520"/>
            <w:vAlign w:val="center"/>
          </w:tcPr>
          <w:p>
            <w:pPr>
              <w:spacing w:after="0"/>
            </w:pPr>
            <w:r>
              <w:rPr>
                <w:sz w:val="16"/>
              </w:rPr>
              <w:t>p50/p95/p99 latency</w:t>
            </w:r>
          </w:p>
        </w:tc>
        <w:tc>
          <w:tcPr>
            <w:tcW w:type="dxa" w:w="2520"/>
            <w:vAlign w:val="center"/>
          </w:tcPr>
          <w:p>
            <w:pPr>
              <w:spacing w:after="0"/>
            </w:pPr>
            <w:r>
              <w:rPr>
                <w:sz w:val="16"/>
              </w:rPr>
              <w:t>Acceptance timestamp to final route; per-stage spans</w:t>
            </w:r>
          </w:p>
        </w:tc>
        <w:tc>
          <w:tcPr>
            <w:tcW w:type="dxa" w:w="2520"/>
            <w:vAlign w:val="center"/>
          </w:tcPr>
          <w:p>
            <w:pPr>
              <w:spacing w:after="0"/>
            </w:pPr>
            <w:r>
              <w:rPr>
                <w:sz w:val="16"/>
              </w:rPr>
              <w:t>Normal, peak and burst</w:t>
            </w:r>
          </w:p>
        </w:tc>
        <w:tc>
          <w:tcPr>
            <w:tcW w:type="dxa" w:w="2520"/>
            <w:vAlign w:val="center"/>
          </w:tcPr>
          <w:p>
            <w:pPr>
              <w:spacing w:after="0"/>
            </w:pPr>
            <w:r>
              <w:rPr>
                <w:sz w:val="16"/>
              </w:rPr>
              <w:t>Compare to agreed service objectives</w:t>
            </w:r>
          </w:p>
        </w:tc>
      </w:tr>
      <w:tr>
        <w:tc>
          <w:tcPr>
            <w:tcW w:type="dxa" w:w="2520"/>
            <w:vAlign w:val="center"/>
          </w:tcPr>
          <w:p>
            <w:pPr>
              <w:spacing w:after="0"/>
            </w:pPr>
            <w:r>
              <w:rPr>
                <w:sz w:val="16"/>
              </w:rPr>
              <w:t>Throughput</w:t>
            </w:r>
          </w:p>
        </w:tc>
        <w:tc>
          <w:tcPr>
            <w:tcW w:type="dxa" w:w="2520"/>
            <w:vAlign w:val="center"/>
          </w:tcPr>
          <w:p>
            <w:pPr>
              <w:spacing w:after="0"/>
            </w:pPr>
            <w:r>
              <w:rPr>
                <w:sz w:val="16"/>
              </w:rPr>
              <w:t>Successfully completed valid messages/minute</w:t>
            </w:r>
          </w:p>
        </w:tc>
        <w:tc>
          <w:tcPr>
            <w:tcW w:type="dxa" w:w="2520"/>
            <w:vAlign w:val="center"/>
          </w:tcPr>
          <w:p>
            <w:pPr>
              <w:spacing w:after="0"/>
            </w:pPr>
            <w:r>
              <w:rPr>
                <w:sz w:val="16"/>
              </w:rPr>
              <w:t>Increase concurrency stepwise</w:t>
            </w:r>
          </w:p>
        </w:tc>
        <w:tc>
          <w:tcPr>
            <w:tcW w:type="dxa" w:w="2520"/>
            <w:vAlign w:val="center"/>
          </w:tcPr>
          <w:p>
            <w:pPr>
              <w:spacing w:after="0"/>
            </w:pPr>
            <w:r>
              <w:rPr>
                <w:sz w:val="16"/>
              </w:rPr>
              <w:t>Find sustainable rate before errors/latency rise</w:t>
            </w:r>
          </w:p>
        </w:tc>
      </w:tr>
      <w:tr>
        <w:tc>
          <w:tcPr>
            <w:tcW w:type="dxa" w:w="2520"/>
            <w:vAlign w:val="center"/>
          </w:tcPr>
          <w:p>
            <w:pPr>
              <w:spacing w:after="0"/>
            </w:pPr>
            <w:r>
              <w:rPr>
                <w:sz w:val="16"/>
              </w:rPr>
              <w:t>Queue drain time</w:t>
            </w:r>
          </w:p>
        </w:tc>
        <w:tc>
          <w:tcPr>
            <w:tcW w:type="dxa" w:w="2520"/>
            <w:vAlign w:val="center"/>
          </w:tcPr>
          <w:p>
            <w:pPr>
              <w:spacing w:after="0"/>
            </w:pPr>
            <w:r>
              <w:rPr>
                <w:sz w:val="16"/>
              </w:rPr>
              <w:t>Observe backlog after burst</w:t>
            </w:r>
          </w:p>
        </w:tc>
        <w:tc>
          <w:tcPr>
            <w:tcW w:type="dxa" w:w="2520"/>
            <w:vAlign w:val="center"/>
          </w:tcPr>
          <w:p>
            <w:pPr>
              <w:spacing w:after="0"/>
            </w:pPr>
            <w:r>
              <w:rPr>
                <w:sz w:val="16"/>
              </w:rPr>
              <w:t>Burst then return to normal</w:t>
            </w:r>
          </w:p>
        </w:tc>
        <w:tc>
          <w:tcPr>
            <w:tcW w:type="dxa" w:w="2520"/>
            <w:vAlign w:val="center"/>
          </w:tcPr>
          <w:p>
            <w:pPr>
              <w:spacing w:after="0"/>
            </w:pPr>
            <w:r>
              <w:rPr>
                <w:sz w:val="16"/>
              </w:rPr>
              <w:t>Backlog returns to safe level within target</w:t>
            </w:r>
          </w:p>
        </w:tc>
      </w:tr>
      <w:tr>
        <w:tc>
          <w:tcPr>
            <w:tcW w:type="dxa" w:w="2520"/>
            <w:vAlign w:val="center"/>
          </w:tcPr>
          <w:p>
            <w:pPr>
              <w:spacing w:after="0"/>
            </w:pPr>
            <w:r>
              <w:rPr>
                <w:sz w:val="16"/>
              </w:rPr>
              <w:t>Precision/recall/F1</w:t>
            </w:r>
          </w:p>
        </w:tc>
        <w:tc>
          <w:tcPr>
            <w:tcW w:type="dxa" w:w="2520"/>
            <w:vAlign w:val="center"/>
          </w:tcPr>
          <w:p>
            <w:pPr>
              <w:spacing w:after="0"/>
            </w:pPr>
            <w:r>
              <w:rPr>
                <w:sz w:val="16"/>
              </w:rPr>
              <w:t>Labeled validation set and confusion matrix</w:t>
            </w:r>
          </w:p>
        </w:tc>
        <w:tc>
          <w:tcPr>
            <w:tcW w:type="dxa" w:w="2520"/>
            <w:vAlign w:val="center"/>
          </w:tcPr>
          <w:p>
            <w:pPr>
              <w:spacing w:after="0"/>
            </w:pPr>
            <w:r>
              <w:rPr>
                <w:sz w:val="16"/>
              </w:rPr>
              <w:t>Same data for baseline/optimized model</w:t>
            </w:r>
          </w:p>
        </w:tc>
        <w:tc>
          <w:tcPr>
            <w:tcW w:type="dxa" w:w="2520"/>
            <w:vAlign w:val="center"/>
          </w:tcPr>
          <w:p>
            <w:pPr>
              <w:spacing w:after="0"/>
            </w:pPr>
            <w:r>
              <w:rPr>
                <w:sz w:val="16"/>
              </w:rPr>
              <w:t>Document trade-offs and avoid unacceptable regression</w:t>
            </w:r>
          </w:p>
        </w:tc>
      </w:tr>
      <w:tr>
        <w:tc>
          <w:tcPr>
            <w:tcW w:type="dxa" w:w="2520"/>
            <w:vAlign w:val="center"/>
          </w:tcPr>
          <w:p>
            <w:pPr>
              <w:spacing w:after="0"/>
            </w:pPr>
            <w:r>
              <w:rPr>
                <w:sz w:val="16"/>
              </w:rPr>
              <w:t>False-positive rate</w:t>
            </w:r>
          </w:p>
        </w:tc>
        <w:tc>
          <w:tcPr>
            <w:tcW w:type="dxa" w:w="2520"/>
            <w:vAlign w:val="center"/>
          </w:tcPr>
          <w:p>
            <w:pPr>
              <w:spacing w:after="0"/>
            </w:pPr>
            <w:r>
              <w:rPr>
                <w:sz w:val="16"/>
              </w:rPr>
              <w:t>Benign messages incorrectly flagged</w:t>
            </w:r>
          </w:p>
        </w:tc>
        <w:tc>
          <w:tcPr>
            <w:tcW w:type="dxa" w:w="2520"/>
            <w:vAlign w:val="center"/>
          </w:tcPr>
          <w:p>
            <w:pPr>
              <w:spacing w:after="0"/>
            </w:pPr>
            <w:r>
              <w:rPr>
                <w:sz w:val="16"/>
              </w:rPr>
              <w:t>Representative benign samples</w:t>
            </w:r>
          </w:p>
        </w:tc>
        <w:tc>
          <w:tcPr>
            <w:tcW w:type="dxa" w:w="2520"/>
            <w:vAlign w:val="center"/>
          </w:tcPr>
          <w:p>
            <w:pPr>
              <w:spacing w:after="0"/>
            </w:pPr>
            <w:r>
              <w:rPr>
                <w:sz w:val="16"/>
              </w:rPr>
              <w:t>Check analyst workload</w:t>
            </w:r>
          </w:p>
        </w:tc>
      </w:tr>
      <w:tr>
        <w:tc>
          <w:tcPr>
            <w:tcW w:type="dxa" w:w="2520"/>
            <w:vAlign w:val="center"/>
          </w:tcPr>
          <w:p>
            <w:pPr>
              <w:spacing w:after="0"/>
            </w:pPr>
            <w:r>
              <w:rPr>
                <w:sz w:val="16"/>
              </w:rPr>
              <w:t>Failure recovery</w:t>
            </w:r>
          </w:p>
        </w:tc>
        <w:tc>
          <w:tcPr>
            <w:tcW w:type="dxa" w:w="2520"/>
            <w:vAlign w:val="center"/>
          </w:tcPr>
          <w:p>
            <w:pPr>
              <w:spacing w:after="0"/>
            </w:pPr>
            <w:r>
              <w:rPr>
                <w:sz w:val="16"/>
              </w:rPr>
              <w:t>Inject timeout or worker restart</w:t>
            </w:r>
          </w:p>
        </w:tc>
        <w:tc>
          <w:tcPr>
            <w:tcW w:type="dxa" w:w="2520"/>
            <w:vAlign w:val="center"/>
          </w:tcPr>
          <w:p>
            <w:pPr>
              <w:spacing w:after="0"/>
            </w:pPr>
            <w:r>
              <w:rPr>
                <w:sz w:val="16"/>
              </w:rPr>
              <w:t>Controlled resilience test</w:t>
            </w:r>
          </w:p>
        </w:tc>
        <w:tc>
          <w:tcPr>
            <w:tcW w:type="dxa" w:w="2520"/>
            <w:vAlign w:val="center"/>
          </w:tcPr>
          <w:p>
            <w:pPr>
              <w:spacing w:after="0"/>
            </w:pPr>
            <w:r>
              <w:rPr>
                <w:sz w:val="16"/>
              </w:rPr>
              <w:t>No lost event; bounded retries; duplicates prevented</w:t>
            </w:r>
          </w:p>
        </w:tc>
      </w:tr>
      <w:tr>
        <w:tc>
          <w:tcPr>
            <w:tcW w:type="dxa" w:w="2520"/>
            <w:vAlign w:val="center"/>
          </w:tcPr>
          <w:p>
            <w:pPr>
              <w:spacing w:after="0"/>
            </w:pPr>
            <w:r>
              <w:rPr>
                <w:sz w:val="16"/>
              </w:rPr>
              <w:t>Cost per 1,000 messages</w:t>
            </w:r>
          </w:p>
        </w:tc>
        <w:tc>
          <w:tcPr>
            <w:tcW w:type="dxa" w:w="2520"/>
            <w:vAlign w:val="center"/>
          </w:tcPr>
          <w:p>
            <w:pPr>
              <w:spacing w:after="0"/>
            </w:pPr>
            <w:r>
              <w:rPr>
                <w:sz w:val="16"/>
              </w:rPr>
              <w:t>Compute, storage and model/API usage</w:t>
            </w:r>
          </w:p>
        </w:tc>
        <w:tc>
          <w:tcPr>
            <w:tcW w:type="dxa" w:w="2520"/>
            <w:vAlign w:val="center"/>
          </w:tcPr>
          <w:p>
            <w:pPr>
              <w:spacing w:after="0"/>
            </w:pPr>
            <w:r>
              <w:rPr>
                <w:sz w:val="16"/>
              </w:rPr>
              <w:t>Fixed test volume</w:t>
            </w:r>
          </w:p>
        </w:tc>
        <w:tc>
          <w:tcPr>
            <w:tcW w:type="dxa" w:w="2520"/>
            <w:vAlign w:val="center"/>
          </w:tcPr>
          <w:p>
            <w:pPr>
              <w:spacing w:after="0"/>
            </w:pPr>
            <w:r>
              <w:rPr>
                <w:sz w:val="16"/>
              </w:rPr>
              <w:t>Compare alongside quality and latency</w:t>
            </w:r>
          </w:p>
        </w:tc>
      </w:tr>
      <w:tr>
        <w:tc>
          <w:tcPr>
            <w:tcW w:type="dxa" w:w="2520"/>
            <w:vAlign w:val="center"/>
          </w:tcPr>
          <w:p>
            <w:pPr>
              <w:spacing w:after="0"/>
            </w:pPr>
            <w:r>
              <w:rPr>
                <w:sz w:val="16"/>
              </w:rPr>
              <w:t>Traceability</w:t>
            </w:r>
          </w:p>
        </w:tc>
        <w:tc>
          <w:tcPr>
            <w:tcW w:type="dxa" w:w="2520"/>
            <w:vAlign w:val="center"/>
          </w:tcPr>
          <w:p>
            <w:pPr>
              <w:spacing w:after="0"/>
            </w:pPr>
            <w:r>
              <w:rPr>
                <w:sz w:val="16"/>
              </w:rPr>
              <w:t>Event ID linked through logs and case record</w:t>
            </w:r>
          </w:p>
        </w:tc>
        <w:tc>
          <w:tcPr>
            <w:tcW w:type="dxa" w:w="2520"/>
            <w:vAlign w:val="center"/>
          </w:tcPr>
          <w:p>
            <w:pPr>
              <w:spacing w:after="0"/>
            </w:pPr>
            <w:r>
              <w:rPr>
                <w:sz w:val="16"/>
              </w:rPr>
              <w:t>Sample success and failure events</w:t>
            </w:r>
          </w:p>
        </w:tc>
        <w:tc>
          <w:tcPr>
            <w:tcW w:type="dxa" w:w="2520"/>
            <w:vAlign w:val="center"/>
          </w:tcPr>
          <w:p>
            <w:pPr>
              <w:spacing w:after="0"/>
            </w:pPr>
            <w:r>
              <w:rPr>
                <w:sz w:val="16"/>
              </w:rPr>
              <w:t>Reconstruct decisions without logging secrets</w:t>
            </w:r>
          </w:p>
        </w:tc>
      </w:tr>
    </w:tbl>
    <w:p/>
    <w:p>
      <w:pPr>
        <w:pStyle w:val="Heading2"/>
      </w:pPr>
      <w:r>
        <w:t>Recommended test sequence</w:t>
      </w:r>
    </w:p>
    <w:p>
      <w:pPr>
        <w:pStyle w:val="ListNumber"/>
      </w:pPr>
      <w:r>
        <w:t>Functional test: valid, invalid, duplicate, benign, suspicious and uncertain inputs.</w:t>
      </w:r>
    </w:p>
    <w:p>
      <w:pPr>
        <w:pStyle w:val="ListNumber"/>
      </w:pPr>
      <w:r>
        <w:t>Baseline load test: fixed dataset at low concurrency; record stage timings.</w:t>
      </w:r>
    </w:p>
    <w:p>
      <w:pPr>
        <w:pStyle w:val="ListNumber"/>
      </w:pPr>
      <w:r>
        <w:t>Step-load test: increase arrival rate gradually to find the first saturated component.</w:t>
      </w:r>
    </w:p>
    <w:p>
      <w:pPr>
        <w:pStyle w:val="ListNumber"/>
      </w:pPr>
      <w:r>
        <w:t>Burst test: send a short high-volume spike and observe queue age, errors and recovery.</w:t>
      </w:r>
    </w:p>
    <w:p>
      <w:pPr>
        <w:pStyle w:val="ListNumber"/>
      </w:pPr>
      <w:r>
        <w:t>Stress test: increase load until objectives fail, then identify the limiting resource.</w:t>
      </w:r>
    </w:p>
    <w:p>
      <w:pPr>
        <w:pStyle w:val="ListNumber"/>
      </w:pPr>
      <w:r>
        <w:t>Soak test: run steady load long enough to reveal memory leaks, queue growth and resource drift.</w:t>
      </w:r>
    </w:p>
    <w:p>
      <w:pPr>
        <w:pStyle w:val="ListNumber"/>
      </w:pPr>
      <w:r>
        <w:t>Failure test: simulate slow external API, worker termination and storage interruption.</w:t>
      </w:r>
    </w:p>
    <w:p>
      <w:pPr>
        <w:pStyle w:val="ListNumber"/>
      </w:pPr>
      <w:r>
        <w:t>Quality regression test: compare precision, recall, F1, false positives and uncertainty routing after changes.</w:t>
      </w:r>
    </w:p>
    <w:p>
      <w:pPr>
        <w:pStyle w:val="Heading1"/>
      </w:pPr>
      <w:r>
        <w:t>8. Implementation Roadmap</w:t>
      </w:r>
    </w:p>
    <w:p>
      <w:pPr>
        <w:jc w:val="center"/>
      </w:pPr>
      <w:r>
        <w:drawing>
          <wp:inline xmlns:a="http://schemas.openxmlformats.org/drawingml/2006/main" xmlns:pic="http://schemas.openxmlformats.org/drawingml/2006/picture">
            <wp:extent cx="6217920" cy="2114093"/>
            <wp:docPr id="4" name="Picture 4"/>
            <wp:cNvGraphicFramePr>
              <a:graphicFrameLocks noChangeAspect="1"/>
            </wp:cNvGraphicFramePr>
            <a:graphic>
              <a:graphicData uri="http://schemas.openxmlformats.org/drawingml/2006/picture">
                <pic:pic>
                  <pic:nvPicPr>
                    <pic:cNvPr id="0" name="week4_optimization_roadmap.png"/>
                    <pic:cNvPicPr/>
                  </pic:nvPicPr>
                  <pic:blipFill>
                    <a:blip r:embed="rId12"/>
                    <a:stretch>
                      <a:fillRect/>
                    </a:stretch>
                  </pic:blipFill>
                  <pic:spPr>
                    <a:xfrm>
                      <a:off x="0" y="0"/>
                      <a:ext cx="6217920" cy="2114093"/>
                    </a:xfrm>
                    <a:prstGeom prst="rect"/>
                  </pic:spPr>
                </pic:pic>
              </a:graphicData>
            </a:graphic>
          </wp:inline>
        </w:drawing>
      </w:r>
    </w:p>
    <w:p>
      <w:r>
        <w:t>Figure 4. Staged optimization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Phase</w:t>
            </w:r>
          </w:p>
        </w:tc>
        <w:tc>
          <w:tcPr>
            <w:tcW w:type="dxa" w:w="3360"/>
            <w:shd w:fill="CFE2F3"/>
          </w:tcPr>
          <w:p>
            <w:r>
              <w:rPr>
                <w:b/>
                <w:sz w:val="16"/>
              </w:rPr>
              <w:t>Actions</w:t>
            </w:r>
          </w:p>
        </w:tc>
        <w:tc>
          <w:tcPr>
            <w:tcW w:type="dxa" w:w="3360"/>
            <w:shd w:fill="CFE2F3"/>
          </w:tcPr>
          <w:p>
            <w:r>
              <w:rPr>
                <w:b/>
                <w:sz w:val="16"/>
              </w:rPr>
              <w:t>Exit criterion / deliverable</w:t>
            </w:r>
          </w:p>
        </w:tc>
      </w:tr>
      <w:tr>
        <w:tc>
          <w:tcPr>
            <w:tcW w:type="dxa" w:w="3360"/>
            <w:vAlign w:val="center"/>
          </w:tcPr>
          <w:p>
            <w:pPr>
              <w:spacing w:after="0"/>
            </w:pPr>
            <w:r>
              <w:rPr>
                <w:sz w:val="16"/>
              </w:rPr>
              <w:t>1 — Baseline</w:t>
            </w:r>
          </w:p>
        </w:tc>
        <w:tc>
          <w:tcPr>
            <w:tcW w:type="dxa" w:w="3360"/>
            <w:vAlign w:val="center"/>
          </w:tcPr>
          <w:p>
            <w:pPr>
              <w:spacing w:after="0"/>
            </w:pPr>
            <w:r>
              <w:rPr>
                <w:sz w:val="16"/>
              </w:rPr>
              <w:t>Define traffic profile; add stage timers; document environment</w:t>
            </w:r>
          </w:p>
        </w:tc>
        <w:tc>
          <w:tcPr>
            <w:tcW w:type="dxa" w:w="3360"/>
            <w:vAlign w:val="center"/>
          </w:tcPr>
          <w:p>
            <w:pPr>
              <w:spacing w:after="0"/>
            </w:pPr>
            <w:r>
              <w:rPr>
                <w:sz w:val="16"/>
              </w:rPr>
              <w:t>Repeatable baseline and initial service objectives</w:t>
            </w:r>
          </w:p>
        </w:tc>
      </w:tr>
      <w:tr>
        <w:tc>
          <w:tcPr>
            <w:tcW w:type="dxa" w:w="3360"/>
            <w:vAlign w:val="center"/>
          </w:tcPr>
          <w:p>
            <w:pPr>
              <w:spacing w:after="0"/>
            </w:pPr>
            <w:r>
              <w:rPr>
                <w:sz w:val="16"/>
              </w:rPr>
              <w:t>2 — Low-risk tuning</w:t>
            </w:r>
          </w:p>
        </w:tc>
        <w:tc>
          <w:tcPr>
            <w:tcW w:type="dxa" w:w="3360"/>
            <w:vAlign w:val="center"/>
          </w:tcPr>
          <w:p>
            <w:pPr>
              <w:spacing w:after="0"/>
            </w:pPr>
            <w:r>
              <w:rPr>
                <w:sz w:val="16"/>
              </w:rPr>
              <w:t>Remove repeated work; tune indexes/payloads; reuse model</w:t>
            </w:r>
          </w:p>
        </w:tc>
        <w:tc>
          <w:tcPr>
            <w:tcW w:type="dxa" w:w="3360"/>
            <w:vAlign w:val="center"/>
          </w:tcPr>
          <w:p>
            <w:pPr>
              <w:spacing w:after="0"/>
            </w:pPr>
            <w:r>
              <w:rPr>
                <w:sz w:val="16"/>
              </w:rPr>
              <w:t>Measured improvement without quality regression</w:t>
            </w:r>
          </w:p>
        </w:tc>
      </w:tr>
      <w:tr>
        <w:tc>
          <w:tcPr>
            <w:tcW w:type="dxa" w:w="3360"/>
            <w:vAlign w:val="center"/>
          </w:tcPr>
          <w:p>
            <w:pPr>
              <w:spacing w:after="0"/>
            </w:pPr>
            <w:r>
              <w:rPr>
                <w:sz w:val="16"/>
              </w:rPr>
              <w:t>3 — Decouple</w:t>
            </w:r>
          </w:p>
        </w:tc>
        <w:tc>
          <w:tcPr>
            <w:tcW w:type="dxa" w:w="3360"/>
            <w:vAlign w:val="center"/>
          </w:tcPr>
          <w:p>
            <w:pPr>
              <w:spacing w:after="0"/>
            </w:pPr>
            <w:r>
              <w:rPr>
                <w:sz w:val="16"/>
              </w:rPr>
              <w:t>Add queue, bounded retries, idempotency and dead-letter handling</w:t>
            </w:r>
          </w:p>
        </w:tc>
        <w:tc>
          <w:tcPr>
            <w:tcW w:type="dxa" w:w="3360"/>
            <w:vAlign w:val="center"/>
          </w:tcPr>
          <w:p>
            <w:pPr>
              <w:spacing w:after="0"/>
            </w:pPr>
            <w:r>
              <w:rPr>
                <w:sz w:val="16"/>
              </w:rPr>
              <w:t>Burst test passes; duplicate cases prevented</w:t>
            </w:r>
          </w:p>
        </w:tc>
      </w:tr>
      <w:tr>
        <w:tc>
          <w:tcPr>
            <w:tcW w:type="dxa" w:w="3360"/>
            <w:vAlign w:val="center"/>
          </w:tcPr>
          <w:p>
            <w:pPr>
              <w:spacing w:after="0"/>
            </w:pPr>
            <w:r>
              <w:rPr>
                <w:sz w:val="16"/>
              </w:rPr>
              <w:t>4 — Scale workers</w:t>
            </w:r>
          </w:p>
        </w:tc>
        <w:tc>
          <w:tcPr>
            <w:tcW w:type="dxa" w:w="3360"/>
            <w:vAlign w:val="center"/>
          </w:tcPr>
          <w:p>
            <w:pPr>
              <w:spacing w:after="0"/>
            </w:pPr>
            <w:r>
              <w:rPr>
                <w:sz w:val="16"/>
              </w:rPr>
              <w:t>Worker pool, health checks, autoscaling signals and limits</w:t>
            </w:r>
          </w:p>
        </w:tc>
        <w:tc>
          <w:tcPr>
            <w:tcW w:type="dxa" w:w="3360"/>
            <w:vAlign w:val="center"/>
          </w:tcPr>
          <w:p>
            <w:pPr>
              <w:spacing w:after="0"/>
            </w:pPr>
            <w:r>
              <w:rPr>
                <w:sz w:val="16"/>
              </w:rPr>
              <w:t>Target peak capacity demonstrated in tests</w:t>
            </w:r>
          </w:p>
        </w:tc>
      </w:tr>
      <w:tr>
        <w:tc>
          <w:tcPr>
            <w:tcW w:type="dxa" w:w="3360"/>
            <w:vAlign w:val="center"/>
          </w:tcPr>
          <w:p>
            <w:pPr>
              <w:spacing w:after="0"/>
            </w:pPr>
            <w:r>
              <w:rPr>
                <w:sz w:val="16"/>
              </w:rPr>
              <w:t>5 — Inference tuning</w:t>
            </w:r>
          </w:p>
        </w:tc>
        <w:tc>
          <w:tcPr>
            <w:tcW w:type="dxa" w:w="3360"/>
            <w:vAlign w:val="center"/>
          </w:tcPr>
          <w:p>
            <w:pPr>
              <w:spacing w:after="0"/>
            </w:pPr>
            <w:r>
              <w:rPr>
                <w:sz w:val="16"/>
              </w:rPr>
              <w:t>Benchmark compact models/runtimes; test batching or acceleration</w:t>
            </w:r>
          </w:p>
        </w:tc>
        <w:tc>
          <w:tcPr>
            <w:tcW w:type="dxa" w:w="3360"/>
            <w:vAlign w:val="center"/>
          </w:tcPr>
          <w:p>
            <w:pPr>
              <w:spacing w:after="0"/>
            </w:pPr>
            <w:r>
              <w:rPr>
                <w:sz w:val="16"/>
              </w:rPr>
              <w:t>Quality-latency-cost comparison</w:t>
            </w:r>
          </w:p>
        </w:tc>
      </w:tr>
      <w:tr>
        <w:tc>
          <w:tcPr>
            <w:tcW w:type="dxa" w:w="3360"/>
            <w:vAlign w:val="center"/>
          </w:tcPr>
          <w:p>
            <w:pPr>
              <w:spacing w:after="0"/>
            </w:pPr>
            <w:r>
              <w:rPr>
                <w:sz w:val="16"/>
              </w:rPr>
              <w:t>6 — Production readiness</w:t>
            </w:r>
          </w:p>
        </w:tc>
        <w:tc>
          <w:tcPr>
            <w:tcW w:type="dxa" w:w="3360"/>
            <w:vAlign w:val="center"/>
          </w:tcPr>
          <w:p>
            <w:pPr>
              <w:spacing w:after="0"/>
            </w:pPr>
            <w:r>
              <w:rPr>
                <w:sz w:val="16"/>
              </w:rPr>
              <w:t>Security review, alerts, rollback, runbook and privacy controls</w:t>
            </w:r>
          </w:p>
        </w:tc>
        <w:tc>
          <w:tcPr>
            <w:tcW w:type="dxa" w:w="3360"/>
            <w:vAlign w:val="center"/>
          </w:tcPr>
          <w:p>
            <w:pPr>
              <w:spacing w:after="0"/>
            </w:pPr>
            <w:r>
              <w:rPr>
                <w:sz w:val="16"/>
              </w:rPr>
              <w:t>Operational approval and tested rollback</w:t>
            </w:r>
          </w:p>
        </w:tc>
      </w:tr>
    </w:tbl>
    <w:p/>
    <w:p>
      <w:pPr>
        <w:pStyle w:val="Heading1"/>
      </w:pPr>
      <w:r>
        <w:t>9. Limitations, Risks and Production Transition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Risk</w:t>
            </w:r>
          </w:p>
        </w:tc>
        <w:tc>
          <w:tcPr>
            <w:tcW w:type="dxa" w:w="3360"/>
            <w:shd w:fill="CFE2F3"/>
          </w:tcPr>
          <w:p>
            <w:r>
              <w:rPr>
                <w:b/>
                <w:sz w:val="16"/>
              </w:rPr>
              <w:t>Why it matters</w:t>
            </w:r>
          </w:p>
        </w:tc>
        <w:tc>
          <w:tcPr>
            <w:tcW w:type="dxa" w:w="3360"/>
            <w:shd w:fill="CFE2F3"/>
          </w:tcPr>
          <w:p>
            <w:r>
              <w:rPr>
                <w:b/>
                <w:sz w:val="16"/>
              </w:rPr>
              <w:t>Mitigation</w:t>
            </w:r>
          </w:p>
        </w:tc>
      </w:tr>
      <w:tr>
        <w:tc>
          <w:tcPr>
            <w:tcW w:type="dxa" w:w="3360"/>
            <w:vAlign w:val="center"/>
          </w:tcPr>
          <w:p>
            <w:pPr>
              <w:spacing w:after="0"/>
            </w:pPr>
            <w:r>
              <w:rPr>
                <w:sz w:val="16"/>
              </w:rPr>
              <w:t>Illustrative figures</w:t>
            </w:r>
          </w:p>
        </w:tc>
        <w:tc>
          <w:tcPr>
            <w:tcW w:type="dxa" w:w="3360"/>
            <w:vAlign w:val="center"/>
          </w:tcPr>
          <w:p>
            <w:pPr>
              <w:spacing w:after="0"/>
            </w:pPr>
            <w:r>
              <w:rPr>
                <w:sz w:val="16"/>
              </w:rPr>
              <w:t>They do not prove real capacity</w:t>
            </w:r>
          </w:p>
        </w:tc>
        <w:tc>
          <w:tcPr>
            <w:tcW w:type="dxa" w:w="3360"/>
            <w:vAlign w:val="center"/>
          </w:tcPr>
          <w:p>
            <w:pPr>
              <w:spacing w:after="0"/>
            </w:pPr>
            <w:r>
              <w:rPr>
                <w:sz w:val="16"/>
              </w:rPr>
              <w:t>Run repeatable benchmarks; label assumptions</w:t>
            </w:r>
          </w:p>
        </w:tc>
      </w:tr>
      <w:tr>
        <w:tc>
          <w:tcPr>
            <w:tcW w:type="dxa" w:w="3360"/>
            <w:vAlign w:val="center"/>
          </w:tcPr>
          <w:p>
            <w:pPr>
              <w:spacing w:after="0"/>
            </w:pPr>
            <w:r>
              <w:rPr>
                <w:sz w:val="16"/>
              </w:rPr>
              <w:t>Model drift</w:t>
            </w:r>
          </w:p>
        </w:tc>
        <w:tc>
          <w:tcPr>
            <w:tcW w:type="dxa" w:w="3360"/>
            <w:vAlign w:val="center"/>
          </w:tcPr>
          <w:p>
            <w:pPr>
              <w:spacing w:after="0"/>
            </w:pPr>
            <w:r>
              <w:rPr>
                <w:sz w:val="16"/>
              </w:rPr>
              <w:t>Phishing tactics and distributions change</w:t>
            </w:r>
          </w:p>
        </w:tc>
        <w:tc>
          <w:tcPr>
            <w:tcW w:type="dxa" w:w="3360"/>
            <w:vAlign w:val="center"/>
          </w:tcPr>
          <w:p>
            <w:pPr>
              <w:spacing w:after="0"/>
            </w:pPr>
            <w:r>
              <w:rPr>
                <w:sz w:val="16"/>
              </w:rPr>
              <w:t>Monitor quality; review labels; version models and thresholds</w:t>
            </w:r>
          </w:p>
        </w:tc>
      </w:tr>
      <w:tr>
        <w:tc>
          <w:tcPr>
            <w:tcW w:type="dxa" w:w="3360"/>
            <w:vAlign w:val="center"/>
          </w:tcPr>
          <w:p>
            <w:pPr>
              <w:spacing w:after="0"/>
            </w:pPr>
            <w:r>
              <w:rPr>
                <w:sz w:val="16"/>
              </w:rPr>
              <w:t>False positives/negatives</w:t>
            </w:r>
          </w:p>
        </w:tc>
        <w:tc>
          <w:tcPr>
            <w:tcW w:type="dxa" w:w="3360"/>
            <w:vAlign w:val="center"/>
          </w:tcPr>
          <w:p>
            <w:pPr>
              <w:spacing w:after="0"/>
            </w:pPr>
            <w:r>
              <w:rPr>
                <w:sz w:val="16"/>
              </w:rPr>
              <w:t>Analyst overload or missed threats</w:t>
            </w:r>
          </w:p>
        </w:tc>
        <w:tc>
          <w:tcPr>
            <w:tcW w:type="dxa" w:w="3360"/>
            <w:vAlign w:val="center"/>
          </w:tcPr>
          <w:p>
            <w:pPr>
              <w:spacing w:after="0"/>
            </w:pPr>
            <w:r>
              <w:rPr>
                <w:sz w:val="16"/>
              </w:rPr>
              <w:t>Calibrated thresholds, human review and feedback</w:t>
            </w:r>
          </w:p>
        </w:tc>
      </w:tr>
      <w:tr>
        <w:tc>
          <w:tcPr>
            <w:tcW w:type="dxa" w:w="3360"/>
            <w:vAlign w:val="center"/>
          </w:tcPr>
          <w:p>
            <w:pPr>
              <w:spacing w:after="0"/>
            </w:pPr>
            <w:r>
              <w:rPr>
                <w:sz w:val="16"/>
              </w:rPr>
              <w:t>Sensitive email in logs</w:t>
            </w:r>
          </w:p>
        </w:tc>
        <w:tc>
          <w:tcPr>
            <w:tcW w:type="dxa" w:w="3360"/>
            <w:vAlign w:val="center"/>
          </w:tcPr>
          <w:p>
            <w:pPr>
              <w:spacing w:after="0"/>
            </w:pPr>
            <w:r>
              <w:rPr>
                <w:sz w:val="16"/>
              </w:rPr>
              <w:t>Privacy and confidentiality exposure</w:t>
            </w:r>
          </w:p>
        </w:tc>
        <w:tc>
          <w:tcPr>
            <w:tcW w:type="dxa" w:w="3360"/>
            <w:vAlign w:val="center"/>
          </w:tcPr>
          <w:p>
            <w:pPr>
              <w:spacing w:after="0"/>
            </w:pPr>
            <w:r>
              <w:rPr>
                <w:sz w:val="16"/>
              </w:rPr>
              <w:t>Redaction, data minimization, access controls and retention policy</w:t>
            </w:r>
          </w:p>
        </w:tc>
      </w:tr>
      <w:tr>
        <w:tc>
          <w:tcPr>
            <w:tcW w:type="dxa" w:w="3360"/>
            <w:vAlign w:val="center"/>
          </w:tcPr>
          <w:p>
            <w:pPr>
              <w:spacing w:after="0"/>
            </w:pPr>
            <w:r>
              <w:rPr>
                <w:sz w:val="16"/>
              </w:rPr>
              <w:t>External API outage/limits</w:t>
            </w:r>
          </w:p>
        </w:tc>
        <w:tc>
          <w:tcPr>
            <w:tcW w:type="dxa" w:w="3360"/>
            <w:vAlign w:val="center"/>
          </w:tcPr>
          <w:p>
            <w:pPr>
              <w:spacing w:after="0"/>
            </w:pPr>
            <w:r>
              <w:rPr>
                <w:sz w:val="16"/>
              </w:rPr>
              <w:t>Processing can stall or retry excessively</w:t>
            </w:r>
          </w:p>
        </w:tc>
        <w:tc>
          <w:tcPr>
            <w:tcW w:type="dxa" w:w="3360"/>
            <w:vAlign w:val="center"/>
          </w:tcPr>
          <w:p>
            <w:pPr>
              <w:spacing w:after="0"/>
            </w:pPr>
            <w:r>
              <w:rPr>
                <w:sz w:val="16"/>
              </w:rPr>
              <w:t>Timeouts, circuit breakers, quotas and safe fallback</w:t>
            </w:r>
          </w:p>
        </w:tc>
      </w:tr>
      <w:tr>
        <w:tc>
          <w:tcPr>
            <w:tcW w:type="dxa" w:w="3360"/>
            <w:vAlign w:val="center"/>
          </w:tcPr>
          <w:p>
            <w:pPr>
              <w:spacing w:after="0"/>
            </w:pPr>
            <w:r>
              <w:rPr>
                <w:sz w:val="16"/>
              </w:rPr>
              <w:t>Queue overload</w:t>
            </w:r>
          </w:p>
        </w:tc>
        <w:tc>
          <w:tcPr>
            <w:tcW w:type="dxa" w:w="3360"/>
            <w:vAlign w:val="center"/>
          </w:tcPr>
          <w:p>
            <w:pPr>
              <w:spacing w:after="0"/>
            </w:pPr>
            <w:r>
              <w:rPr>
                <w:sz w:val="16"/>
              </w:rPr>
              <w:t>Backlog grows when arrivals exceed service rate</w:t>
            </w:r>
          </w:p>
        </w:tc>
        <w:tc>
          <w:tcPr>
            <w:tcW w:type="dxa" w:w="3360"/>
            <w:vAlign w:val="center"/>
          </w:tcPr>
          <w:p>
            <w:pPr>
              <w:spacing w:after="0"/>
            </w:pPr>
            <w:r>
              <w:rPr>
                <w:sz w:val="16"/>
              </w:rPr>
              <w:t>Alert on age, cap intake and prioritize urgent cases</w:t>
            </w:r>
          </w:p>
        </w:tc>
      </w:tr>
      <w:tr>
        <w:tc>
          <w:tcPr>
            <w:tcW w:type="dxa" w:w="3360"/>
            <w:vAlign w:val="center"/>
          </w:tcPr>
          <w:p>
            <w:pPr>
              <w:spacing w:after="0"/>
            </w:pPr>
            <w:r>
              <w:rPr>
                <w:sz w:val="16"/>
              </w:rPr>
              <w:t>Autoscaling thrash</w:t>
            </w:r>
          </w:p>
        </w:tc>
        <w:tc>
          <w:tcPr>
            <w:tcW w:type="dxa" w:w="3360"/>
            <w:vAlign w:val="center"/>
          </w:tcPr>
          <w:p>
            <w:pPr>
              <w:spacing w:after="0"/>
            </w:pPr>
            <w:r>
              <w:rPr>
                <w:sz w:val="16"/>
              </w:rPr>
              <w:t>Cost spikes or unstable capacity</w:t>
            </w:r>
          </w:p>
        </w:tc>
        <w:tc>
          <w:tcPr>
            <w:tcW w:type="dxa" w:w="3360"/>
            <w:vAlign w:val="center"/>
          </w:tcPr>
          <w:p>
            <w:pPr>
              <w:spacing w:after="0"/>
            </w:pPr>
            <w:r>
              <w:rPr>
                <w:sz w:val="16"/>
              </w:rPr>
              <w:t>Cooldowns, min/max bounds and gradual scale-down</w:t>
            </w:r>
          </w:p>
        </w:tc>
      </w:tr>
      <w:tr>
        <w:tc>
          <w:tcPr>
            <w:tcW w:type="dxa" w:w="3360"/>
            <w:vAlign w:val="center"/>
          </w:tcPr>
          <w:p>
            <w:pPr>
              <w:spacing w:after="0"/>
            </w:pPr>
            <w:r>
              <w:rPr>
                <w:sz w:val="16"/>
              </w:rPr>
              <w:t>Queue/worker security</w:t>
            </w:r>
          </w:p>
        </w:tc>
        <w:tc>
          <w:tcPr>
            <w:tcW w:type="dxa" w:w="3360"/>
            <w:vAlign w:val="center"/>
          </w:tcPr>
          <w:p>
            <w:pPr>
              <w:spacing w:after="0"/>
            </w:pPr>
            <w:r>
              <w:rPr>
                <w:sz w:val="16"/>
              </w:rPr>
              <w:t>Malformed or unauthorized events can compromise pipeline</w:t>
            </w:r>
          </w:p>
        </w:tc>
        <w:tc>
          <w:tcPr>
            <w:tcW w:type="dxa" w:w="3360"/>
            <w:vAlign w:val="center"/>
          </w:tcPr>
          <w:p>
            <w:pPr>
              <w:spacing w:after="0"/>
            </w:pPr>
            <w:r>
              <w:rPr>
                <w:sz w:val="16"/>
              </w:rPr>
              <w:t>Authenticate producers, validate schemas, least privilege, patch and audit</w:t>
            </w:r>
          </w:p>
        </w:tc>
      </w:tr>
    </w:tbl>
    <w:p/>
    <w:p>
      <w:r>
        <w:t>A prototype should not automatically delete, block, or send messages solely from an unverified model score. Use auditable routing, analyst approval for consequential actions, and a tested rollback path. Production deployment requires security, privacy, compliance and operations review.</w:t>
      </w:r>
    </w:p>
    <w:p>
      <w:pPr>
        <w:pStyle w:val="Heading1"/>
      </w:pPr>
      <w:r>
        <w:t>10. Key Recommendations</w:t>
      </w:r>
    </w:p>
    <w:p>
      <w:pPr>
        <w:pStyle w:val="ListNumber"/>
      </w:pPr>
      <w:r>
        <w:t>Instrument first: stage latency, queue age, errors, throughput, model quality and cost.</w:t>
      </w:r>
    </w:p>
    <w:p>
      <w:pPr>
        <w:pStyle w:val="ListNumber"/>
      </w:pPr>
      <w:r>
        <w:t>Use a durable queue and horizontally scalable workers to isolate ingestion from processing.</w:t>
      </w:r>
    </w:p>
    <w:p>
      <w:pPr>
        <w:pStyle w:val="ListNumber"/>
      </w:pPr>
      <w:r>
        <w:t>Optimize the measured bottleneck instead of adding complexity prematurely.</w:t>
      </w:r>
    </w:p>
    <w:p>
      <w:pPr>
        <w:pStyle w:val="ListNumber"/>
      </w:pPr>
      <w:r>
        <w:t>Apply bounded retries, timeouts, idempotency, dead-letter handling and back-pressure.</w:t>
      </w:r>
    </w:p>
    <w:p>
      <w:pPr>
        <w:pStyle w:val="ListNumber"/>
      </w:pPr>
      <w:r>
        <w:t>Evaluate speed improvements against precision, recall, false positives, analyst workload and cost.</w:t>
      </w:r>
    </w:p>
    <w:p>
      <w:pPr>
        <w:pStyle w:val="ListNumber"/>
      </w:pPr>
      <w:r>
        <w:t>Run load, burst, stress, soak and failure tests before claiming capacity or production readiness.</w:t>
      </w:r>
    </w:p>
    <w:p>
      <w:pPr>
        <w:pStyle w:val="ListNumber"/>
      </w:pPr>
      <w:r>
        <w:t>Keep human review for ambiguous/high-impact cases and protect sensitive email content.</w:t>
      </w:r>
    </w:p>
    <w:p>
      <w:pPr>
        <w:pStyle w:val="Heading1"/>
      </w:pPr>
      <w:r>
        <w:t>11. Conclusion</w:t>
      </w:r>
    </w:p>
    <w:p>
      <w:r>
        <w:t>Performance optimization is an iterative, measurement-led process. For this phishing-detection and SOC-triage system, the strongest starting design is a queue-backed pipeline with stage-level telemetry, reusable feature processing, bounded concurrency, resilient failure handling and human review for uncertain cases. The charts provide illustrative targets only; controlled tests must establish real latency, throughput and cost. Scale according to observed bottlenecks while preserving detection quality, security and auditability.</w:t>
      </w:r>
    </w:p>
    <w:p>
      <w:pPr>
        <w:pStyle w:val="Heading1"/>
      </w:pPr>
      <w:r>
        <w:t>12. Research Sources and Further Reading</w:t>
      </w:r>
    </w:p>
    <w:p>
      <w:pPr>
        <w:pStyle w:val="ListBullet"/>
      </w:pPr>
      <w:r>
        <w:rPr>
          <w:b/>
        </w:rPr>
        <w:t xml:space="preserve">Google SRE Book — Addressing Cascading Failures: </w:t>
      </w:r>
      <w:r>
        <w:t>Timeouts, retries, backoff and overload protection. https://sre.google/sre-book/addressing-cascading-failures/</w:t>
      </w:r>
    </w:p>
    <w:p>
      <w:pPr>
        <w:pStyle w:val="ListBullet"/>
      </w:pPr>
      <w:r>
        <w:rPr>
          <w:b/>
        </w:rPr>
        <w:t xml:space="preserve">Google SRE Book — Monitoring Distributed Systems: </w:t>
      </w:r>
      <w:r>
        <w:t>Latency, traffic, errors and saturation monitoring. https://sre.google/sre-book/monitoring-distributed-systems/</w:t>
      </w:r>
    </w:p>
    <w:p>
      <w:pPr>
        <w:pStyle w:val="ListBullet"/>
      </w:pPr>
      <w:r>
        <w:rPr>
          <w:b/>
        </w:rPr>
        <w:t xml:space="preserve">Google Cloud Architecture Framework: </w:t>
      </w:r>
      <w:r>
        <w:t>Reliability, performance and operational design. https://cloud.google.com/architecture/framework</w:t>
      </w:r>
    </w:p>
    <w:p>
      <w:pPr>
        <w:pStyle w:val="ListBullet"/>
      </w:pPr>
      <w:r>
        <w:rPr>
          <w:b/>
        </w:rPr>
        <w:t xml:space="preserve">Kubernetes — Horizontal Pod Autoscaling: </w:t>
      </w:r>
      <w:r>
        <w:t>Metrics-based autoscaling concepts. https://kubernetes.io/docs/tasks/run-application/horizontal-pod-autoscale/</w:t>
      </w:r>
    </w:p>
    <w:p>
      <w:pPr>
        <w:pStyle w:val="ListBullet"/>
      </w:pPr>
      <w:r>
        <w:rPr>
          <w:b/>
        </w:rPr>
        <w:t xml:space="preserve">scikit-learn — Model evaluation: </w:t>
      </w:r>
      <w:r>
        <w:t>Classification metrics and validation. https://scikit-learn.org/stable/modules/model_evaluation.html</w:t>
      </w:r>
    </w:p>
    <w:p>
      <w:pPr>
        <w:pStyle w:val="ListBullet"/>
      </w:pPr>
      <w:r>
        <w:rPr>
          <w:b/>
        </w:rPr>
        <w:t xml:space="preserve">Google Cloud — MLOps pipelines: </w:t>
      </w:r>
      <w:r>
        <w:t>ML validation and operational monitoring. https://cloud.google.com/architecture/mlops-continuous-delivery-and-automation-pipelines-in-machine-learning</w:t>
      </w:r>
    </w:p>
    <w:p>
      <w:pPr>
        <w:pStyle w:val="ListBullet"/>
      </w:pPr>
      <w:r>
        <w:rPr>
          <w:b/>
        </w:rPr>
        <w:t xml:space="preserve">OWASP Top 10 for LLM Applications: </w:t>
      </w:r>
      <w:r>
        <w:t>Security considerations for AI/LLM components. https://owasp.org/www-project-top-10-for-large-language-model-applications/</w:t>
      </w:r>
    </w:p>
    <w:p>
      <w:pPr>
        <w:pStyle w:val="Heading1"/>
      </w:pPr>
      <w:r>
        <w:t>Appendix A — Example Event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Step</w:t>
            </w:r>
          </w:p>
        </w:tc>
        <w:tc>
          <w:tcPr>
            <w:tcW w:type="dxa" w:w="3360"/>
            <w:shd w:fill="CFE2F3"/>
          </w:tcPr>
          <w:p>
            <w:r>
              <w:rPr>
                <w:b/>
                <w:sz w:val="16"/>
              </w:rPr>
              <w:t>Example action</w:t>
            </w:r>
          </w:p>
        </w:tc>
        <w:tc>
          <w:tcPr>
            <w:tcW w:type="dxa" w:w="3360"/>
            <w:shd w:fill="CFE2F3"/>
          </w:tcPr>
          <w:p>
            <w:r>
              <w:rPr>
                <w:b/>
                <w:sz w:val="16"/>
              </w:rPr>
              <w:t>Telemetry</w:t>
            </w:r>
          </w:p>
        </w:tc>
      </w:tr>
      <w:tr>
        <w:tc>
          <w:tcPr>
            <w:tcW w:type="dxa" w:w="3360"/>
            <w:vAlign w:val="center"/>
          </w:tcPr>
          <w:p>
            <w:pPr>
              <w:spacing w:after="0"/>
            </w:pPr>
            <w:r>
              <w:rPr>
                <w:sz w:val="16"/>
              </w:rPr>
              <w:t>Accept</w:t>
            </w:r>
          </w:p>
        </w:tc>
        <w:tc>
          <w:tcPr>
            <w:tcW w:type="dxa" w:w="3360"/>
            <w:vAlign w:val="center"/>
          </w:tcPr>
          <w:p>
            <w:pPr>
              <w:spacing w:after="0"/>
            </w:pPr>
            <w:r>
              <w:rPr>
                <w:sz w:val="16"/>
              </w:rPr>
              <w:t>Assign stable event ID; validate schema</w:t>
            </w:r>
          </w:p>
        </w:tc>
        <w:tc>
          <w:tcPr>
            <w:tcW w:type="dxa" w:w="3360"/>
            <w:vAlign w:val="center"/>
          </w:tcPr>
          <w:p>
            <w:pPr>
              <w:spacing w:after="0"/>
            </w:pPr>
            <w:r>
              <w:rPr>
                <w:sz w:val="16"/>
              </w:rPr>
              <w:t>Accepted/rejected count, payload size, latency</w:t>
            </w:r>
          </w:p>
        </w:tc>
      </w:tr>
      <w:tr>
        <w:tc>
          <w:tcPr>
            <w:tcW w:type="dxa" w:w="3360"/>
            <w:vAlign w:val="center"/>
          </w:tcPr>
          <w:p>
            <w:pPr>
              <w:spacing w:after="0"/>
            </w:pPr>
            <w:r>
              <w:rPr>
                <w:sz w:val="16"/>
              </w:rPr>
              <w:t>Normalize</w:t>
            </w:r>
          </w:p>
        </w:tc>
        <w:tc>
          <w:tcPr>
            <w:tcW w:type="dxa" w:w="3360"/>
            <w:vAlign w:val="center"/>
          </w:tcPr>
          <w:p>
            <w:pPr>
              <w:spacing w:after="0"/>
            </w:pPr>
            <w:r>
              <w:rPr>
                <w:sz w:val="16"/>
              </w:rPr>
              <w:t>Normalize sender, URLs and timestamps</w:t>
            </w:r>
          </w:p>
        </w:tc>
        <w:tc>
          <w:tcPr>
            <w:tcW w:type="dxa" w:w="3360"/>
            <w:vAlign w:val="center"/>
          </w:tcPr>
          <w:p>
            <w:pPr>
              <w:spacing w:after="0"/>
            </w:pPr>
            <w:r>
              <w:rPr>
                <w:sz w:val="16"/>
              </w:rPr>
              <w:t>Processing time, invalid fields</w:t>
            </w:r>
          </w:p>
        </w:tc>
      </w:tr>
      <w:tr>
        <w:tc>
          <w:tcPr>
            <w:tcW w:type="dxa" w:w="3360"/>
            <w:vAlign w:val="center"/>
          </w:tcPr>
          <w:p>
            <w:pPr>
              <w:spacing w:after="0"/>
            </w:pPr>
            <w:r>
              <w:rPr>
                <w:sz w:val="16"/>
              </w:rPr>
              <w:t>Enrich</w:t>
            </w:r>
          </w:p>
        </w:tc>
        <w:tc>
          <w:tcPr>
            <w:tcW w:type="dxa" w:w="3360"/>
            <w:vAlign w:val="center"/>
          </w:tcPr>
          <w:p>
            <w:pPr>
              <w:spacing w:after="0"/>
            </w:pPr>
            <w:r>
              <w:rPr>
                <w:sz w:val="16"/>
              </w:rPr>
              <w:t>Query approved reputation source if available</w:t>
            </w:r>
          </w:p>
        </w:tc>
        <w:tc>
          <w:tcPr>
            <w:tcW w:type="dxa" w:w="3360"/>
            <w:vAlign w:val="center"/>
          </w:tcPr>
          <w:p>
            <w:pPr>
              <w:spacing w:after="0"/>
            </w:pPr>
            <w:r>
              <w:rPr>
                <w:sz w:val="16"/>
              </w:rPr>
              <w:t>Cache hit/miss, API latency, timeouts</w:t>
            </w:r>
          </w:p>
        </w:tc>
      </w:tr>
      <w:tr>
        <w:tc>
          <w:tcPr>
            <w:tcW w:type="dxa" w:w="3360"/>
            <w:vAlign w:val="center"/>
          </w:tcPr>
          <w:p>
            <w:pPr>
              <w:spacing w:after="0"/>
            </w:pPr>
            <w:r>
              <w:rPr>
                <w:sz w:val="16"/>
              </w:rPr>
              <w:t>Score</w:t>
            </w:r>
          </w:p>
        </w:tc>
        <w:tc>
          <w:tcPr>
            <w:tcW w:type="dxa" w:w="3360"/>
            <w:vAlign w:val="center"/>
          </w:tcPr>
          <w:p>
            <w:pPr>
              <w:spacing w:after="0"/>
            </w:pPr>
            <w:r>
              <w:rPr>
                <w:sz w:val="16"/>
              </w:rPr>
              <w:t>Run model and compute risk score</w:t>
            </w:r>
          </w:p>
        </w:tc>
        <w:tc>
          <w:tcPr>
            <w:tcW w:type="dxa" w:w="3360"/>
            <w:vAlign w:val="center"/>
          </w:tcPr>
          <w:p>
            <w:pPr>
              <w:spacing w:after="0"/>
            </w:pPr>
            <w:r>
              <w:rPr>
                <w:sz w:val="16"/>
              </w:rPr>
              <w:t>Model version, inference latency, score distribution</w:t>
            </w:r>
          </w:p>
        </w:tc>
      </w:tr>
      <w:tr>
        <w:tc>
          <w:tcPr>
            <w:tcW w:type="dxa" w:w="3360"/>
            <w:vAlign w:val="center"/>
          </w:tcPr>
          <w:p>
            <w:pPr>
              <w:spacing w:after="0"/>
            </w:pPr>
            <w:r>
              <w:rPr>
                <w:sz w:val="16"/>
              </w:rPr>
              <w:t>Decide</w:t>
            </w:r>
          </w:p>
        </w:tc>
        <w:tc>
          <w:tcPr>
            <w:tcW w:type="dxa" w:w="3360"/>
            <w:vAlign w:val="center"/>
          </w:tcPr>
          <w:p>
            <w:pPr>
              <w:spacing w:after="0"/>
            </w:pPr>
            <w:r>
              <w:rPr>
                <w:sz w:val="16"/>
              </w:rPr>
              <w:t>Apply thresholds and policy rules</w:t>
            </w:r>
          </w:p>
        </w:tc>
        <w:tc>
          <w:tcPr>
            <w:tcW w:type="dxa" w:w="3360"/>
            <w:vAlign w:val="center"/>
          </w:tcPr>
          <w:p>
            <w:pPr>
              <w:spacing w:after="0"/>
            </w:pPr>
            <w:r>
              <w:rPr>
                <w:sz w:val="16"/>
              </w:rPr>
              <w:t>Decision, reason codes, uncertainty route</w:t>
            </w:r>
          </w:p>
        </w:tc>
      </w:tr>
      <w:tr>
        <w:tc>
          <w:tcPr>
            <w:tcW w:type="dxa" w:w="3360"/>
            <w:vAlign w:val="center"/>
          </w:tcPr>
          <w:p>
            <w:pPr>
              <w:spacing w:after="0"/>
            </w:pPr>
            <w:r>
              <w:rPr>
                <w:sz w:val="16"/>
              </w:rPr>
              <w:t>Persist</w:t>
            </w:r>
          </w:p>
        </w:tc>
        <w:tc>
          <w:tcPr>
            <w:tcW w:type="dxa" w:w="3360"/>
            <w:vAlign w:val="center"/>
          </w:tcPr>
          <w:p>
            <w:pPr>
              <w:spacing w:after="0"/>
            </w:pPr>
            <w:r>
              <w:rPr>
                <w:sz w:val="16"/>
              </w:rPr>
              <w:t>Store case and evidence references</w:t>
            </w:r>
          </w:p>
        </w:tc>
        <w:tc>
          <w:tcPr>
            <w:tcW w:type="dxa" w:w="3360"/>
            <w:vAlign w:val="center"/>
          </w:tcPr>
          <w:p>
            <w:pPr>
              <w:spacing w:after="0"/>
            </w:pPr>
            <w:r>
              <w:rPr>
                <w:sz w:val="16"/>
              </w:rPr>
              <w:t>Write latency, errors, duplicate suppression</w:t>
            </w:r>
          </w:p>
        </w:tc>
      </w:tr>
      <w:tr>
        <w:tc>
          <w:tcPr>
            <w:tcW w:type="dxa" w:w="3360"/>
            <w:vAlign w:val="center"/>
          </w:tcPr>
          <w:p>
            <w:pPr>
              <w:spacing w:after="0"/>
            </w:pPr>
            <w:r>
              <w:rPr>
                <w:sz w:val="16"/>
              </w:rPr>
              <w:t>Notify/review</w:t>
            </w:r>
          </w:p>
        </w:tc>
        <w:tc>
          <w:tcPr>
            <w:tcW w:type="dxa" w:w="3360"/>
            <w:vAlign w:val="center"/>
          </w:tcPr>
          <w:p>
            <w:pPr>
              <w:spacing w:after="0"/>
            </w:pPr>
            <w:r>
              <w:rPr>
                <w:sz w:val="16"/>
              </w:rPr>
              <w:t>Create analyst queue item or alert</w:t>
            </w:r>
          </w:p>
        </w:tc>
        <w:tc>
          <w:tcPr>
            <w:tcW w:type="dxa" w:w="3360"/>
            <w:vAlign w:val="center"/>
          </w:tcPr>
          <w:p>
            <w:pPr>
              <w:spacing w:after="0"/>
            </w:pPr>
            <w:r>
              <w:rPr>
                <w:sz w:val="16"/>
              </w:rPr>
              <w:t>Delivery latency, review volume, acknowledgement time</w:t>
            </w:r>
          </w:p>
        </w:tc>
      </w:tr>
    </w:tbl>
    <w:p/>
    <w:p>
      <w:pPr>
        <w:pStyle w:val="Heading1"/>
      </w:pPr>
      <w:r>
        <w:t>Appendix B — Assumptions</w:t>
      </w:r>
    </w:p>
    <w:p>
      <w:pPr>
        <w:pStyle w:val="ListBullet"/>
      </w:pPr>
      <w:r>
        <w:t>This is a proposed design, not a deployed production system.</w:t>
      </w:r>
    </w:p>
    <w:p>
      <w:pPr>
        <w:pStyle w:val="ListBullet"/>
      </w:pPr>
      <w:r>
        <w:t>Baseline and optimized values are synthetic planning examples only.</w:t>
      </w:r>
    </w:p>
    <w:p>
      <w:pPr>
        <w:pStyle w:val="ListBullet"/>
      </w:pPr>
      <w:r>
        <w:t>No real accuracy, traffic rate, cloud cost or benchmark result is claimed.</w:t>
      </w:r>
    </w:p>
    <w:p>
      <w:pPr>
        <w:pStyle w:val="ListBullet"/>
      </w:pPr>
      <w:r>
        <w:t>Metrics and thresholds must be adapted to actual deployment, business impact and infrastructure.</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AI Performance Optimization and Scalability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