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Resume/JD Matching Engine with Bias Detection</w:t>
      </w:r>
    </w:p>
    <w:p>
      <w:pPr>
        <w:pStyle w:val="Heading2"/>
        <w:pStyle w:val="MdHeading2"/>
      </w:pPr>
      <w:r>
        <w:t xml:space="preserve">Product Requirements Document and Complete Implementation Plan</w:t>
      </w:r>
    </w:p>
    <w:p>
      <w:pPr>
        <w:pStyle w:val="MdParagraph"/>
      </w:pPr>
      <w:r>
        <w:rPr>
          <w:rStyle w:val="MdStrong"/>
          <w:b/>
          <w:bCs/>
        </w:rPr>
        <w:t xml:space="preserve">Document status:</w:t>
      </w:r>
      <w:r>
        <w:t xml:space="preserve"> Draft for product, engineering, ML, security, and employment-law review</w:t>
      </w:r>
      <w:r>
        <w:rPr>
          <w:rStyle w:val="MdBr"/>
        </w:rPr>
        <w:br/>
        <w:t xml:space="preserve"/>
      </w:r>
      <w:r>
        <w:rPr>
          <w:rStyle w:val="MdStrong"/>
          <w:b/>
          <w:bCs/>
        </w:rPr>
        <w:t xml:space="preserve">Author:</w:t>
      </w:r>
      <w:r>
        <w:t xml:space="preserve"> Manus AI</w:t>
      </w:r>
      <w:r>
        <w:rPr>
          <w:rStyle w:val="MdBr"/>
        </w:rPr>
        <w:br/>
        <w:t xml:space="preserve"/>
      </w:r>
      <w:r>
        <w:rPr>
          <w:rStyle w:val="MdStrong"/>
          <w:b/>
          <w:bCs/>
        </w:rPr>
        <w:t xml:space="preserve">Date:</w:t>
      </w:r>
      <w:r>
        <w:t xml:space="preserve"> 15 August 2026</w:t>
      </w:r>
      <w:r>
        <w:rPr>
          <w:rStyle w:val="MdBr"/>
        </w:rPr>
        <w:br/>
        <w:t xml:space="preserve"/>
      </w:r>
      <w:r>
        <w:rPr>
          <w:rStyle w:val="MdStrong"/>
          <w:b/>
          <w:bCs/>
        </w:rPr>
        <w:t xml:space="preserve">Target release:</w:t>
      </w:r>
      <w:r>
        <w:t xml:space="preserve"> MVP in 16–20 weeks; production v1 in 28–36 weeks</w:t>
      </w:r>
    </w:p>
    <w:p>
      <w:pPr>
        <w:pStyle w:val="MdSpace"/>
        <w:spacing w:before="0" w:after="60"/>
      </w:pPr>
    </w:p>
    <w:p>
      <w:pPr>
        <w:pStyle w:val="MdBlockquote"/>
      </w:pPr>
      <w:r>
        <w:rPr>
          <w:rStyle w:val="MdStrong"/>
          <w:b/>
          <w:bCs/>
        </w:rPr>
        <w:t xml:space="preserve">Legal and compliance note.</w:t>
      </w:r>
      <w:r>
        <w:t xml:space="preserve"> I am an AI, not a lawyer; this document is a working product and engineering specification, not formal legal advice. Employment-AI obligations vary by jurisdiction and customer workflow. Qualified employment, privacy, and AI-regulatory counsel must review the product classification, notices, retention policies, audit methodology, and deployment controls before production use.</w:t>
      </w:r>
    </w:p>
    <w:p>
      <w:pPr>
        <w:pStyle w:val="MdSpace"/>
        <w:spacing w:before="0" w:after="60"/>
      </w:pPr>
    </w:p>
    <w:p>
      <w:pPr>
        <w:pStyle w:val="Heading2"/>
        <w:pStyle w:val="MdHeading2"/>
      </w:pPr>
      <w:r>
        <w:t xml:space="preserve">1. Executive Summary</w:t>
      </w:r>
    </w:p>
    <w:p>
      <w:pPr>
        <w:pStyle w:val="MdParagraph"/>
      </w:pPr>
      <w:r>
        <w:t xml:space="preserve">The product is an explainable candidate-to-role matching service that converts resumes and job descriptions into structured, taxonomy-linked profiles, retrieves candidates through a hybrid keyword and semantic search pipeline, and produces calibrated ranked recommendations rather than autonomous hiring decisions. The core matching engine combines required-skill coverage, normalized skill relationships, BM25 lexical relevance, dense embeddings, structured constraints such as seniority and location, and a learned ranking layer when sufficient customer labels exist. A separate fairness sidecar audits job-description language, parsing and feature behavior, counterfactual invariance, ranking exposure, and downstream selection outcomes.</w:t>
      </w:r>
    </w:p>
    <w:p>
      <w:pPr>
        <w:pStyle w:val="MdSpace"/>
        <w:spacing w:before="0" w:after="60"/>
      </w:pPr>
    </w:p>
    <w:p>
      <w:pPr>
        <w:pStyle w:val="MdParagraph"/>
      </w:pPr>
      <w:r>
        <w:t xml:space="preserve">The central product promise is </w:t>
      </w:r>
      <w:r>
        <w:rPr>
          <w:rStyle w:val="MdStrong"/>
          <w:b/>
          <w:bCs/>
        </w:rPr>
        <w:t xml:space="preserve">“faster screening without turning historical hiring preferences into an invisible decision rule.”</w:t>
      </w:r>
      <w:r>
        <w:t xml:space="preserve"> Recruiters receive a ranked shortlist, skill-by-skill evidence, missing or uncertain requirements, and a plain-language rationale. HR, legal, and procurement users receive versioned model cards, reproducible audit logs, fairness metrics, candidate-notice controls, and exportable audit reports. The system must never silently reject a candidate solely because of a model score, and any fairness alert must be visible, actionable, and retained as part of the decision record.</w:t>
      </w:r>
    </w:p>
    <w:p>
      <w:pPr>
        <w:pStyle w:val="MdSpace"/>
        <w:spacing w:before="0" w:after="60"/>
      </w:pPr>
    </w:p>
    <w:p>
      <w:pPr>
        <w:pStyle w:val="MdParagraph"/>
      </w:pPr>
      <w:r>
        <w:t xml:space="preserve">The recommended first implementation is a modular Python service using FastAPI, Postgres, OpenSearch, Qdrant or pgvector, Celery, object storage, and self-hostable NLP models. Use ESCO as the open taxonomy backbone, with a governed overlay for emerging skills; use deterministic extraction as the auditable baseline; use </w:t>
      </w:r>
      <w:r>
        <w:rPr>
          <w:rStyle w:val="MdCode"/>
          <w:u w:val="single"/>
        </w:rPr>
        <w:t xml:space="preserve">BAAI/bge-base-en-v1.5</w:t>
      </w:r>
      <w:r>
        <w:t xml:space="preserve"> or a multilingual equivalent for dense retrieval; use </w:t>
      </w:r>
      <w:r>
        <w:rPr>
          <w:rStyle w:val="MdCode"/>
          <w:u w:val="single"/>
        </w:rPr>
        <w:t xml:space="preserve">BAAI/bge-reranker-v2-m3</w:t>
      </w:r>
      <w:r>
        <w:t xml:space="preserve"> only on a small candidate set; and use LightGBM LambdaMART only after collecting carefully governed recruiter labels. The initial composite score should be treated as a tunable baseline, not a universal truth.</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Dimension</w:t>
            </w:r>
          </w:p>
        </w:tc>
        <w:tc>
          <w:tcPr>
            <w:tcMar>
              <w:top w:type="dxa" w:w="100"/>
              <w:left w:type="dxa" w:w="120"/>
              <w:bottom w:type="dxa" w:w="100"/>
              <w:right w:type="dxa" w:w="120"/>
            </w:tcMar>
            <w:vAlign w:val="center"/>
          </w:tcPr>
          <w:p>
            <w:pPr>
              <w:pStyle w:val="MdTableHeader"/>
            </w:pPr>
            <w:r>
              <w:t xml:space="preserve">MVP commitment</w:t>
            </w:r>
          </w:p>
        </w:tc>
        <w:tc>
          <w:tcPr>
            <w:tcBorders>
              <w:right w:val="none"/>
            </w:tcBorders>
            <w:tcMar>
              <w:top w:type="dxa" w:w="100"/>
              <w:left w:type="dxa" w:w="120"/>
              <w:bottom w:type="dxa" w:w="100"/>
              <w:right w:type="dxa" w:w="120"/>
            </w:tcMar>
            <w:vAlign w:val="center"/>
          </w:tcPr>
          <w:p>
            <w:pPr>
              <w:pStyle w:val="MdTableHeader"/>
            </w:pPr>
            <w:r>
              <w:t xml:space="preserve">Production v1 commitment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Matching</w:t>
            </w:r>
          </w:p>
        </w:tc>
        <w:tc>
          <w:tcPr>
            <w:tcMar>
              <w:top w:type="dxa" w:w="80"/>
              <w:left w:type="dxa" w:w="120"/>
              <w:bottom w:type="dxa" w:w="80"/>
              <w:right w:type="dxa" w:w="120"/>
            </w:tcMar>
            <w:vAlign w:val="center"/>
          </w:tcPr>
          <w:p>
            <w:pPr>
              <w:pStyle w:val="MdTableCell"/>
            </w:pPr>
            <w:r>
              <w:t xml:space="preserve">Hybrid skill, BM25, dense retrieval, structured features</w:t>
            </w:r>
          </w:p>
        </w:tc>
        <w:tc>
          <w:tcPr>
            <w:tcBorders>
              <w:right w:val="none"/>
            </w:tcBorders>
            <w:tcMar>
              <w:top w:type="dxa" w:w="80"/>
              <w:left w:type="dxa" w:w="120"/>
              <w:bottom w:type="dxa" w:w="80"/>
              <w:right w:type="dxa" w:w="120"/>
            </w:tcMar>
            <w:vAlign w:val="center"/>
          </w:tcPr>
          <w:p>
            <w:pPr>
              <w:pStyle w:val="MdTableCell"/>
            </w:pPr>
            <w:r>
              <w:t xml:space="preserve">Calibrated reranking and role-family-specific learning-to-rank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Explainability</w:t>
            </w:r>
          </w:p>
        </w:tc>
        <w:tc>
          <w:tcPr>
            <w:tcMar>
              <w:top w:type="dxa" w:w="80"/>
              <w:left w:type="dxa" w:w="120"/>
              <w:bottom w:type="dxa" w:w="80"/>
              <w:right w:type="dxa" w:w="120"/>
            </w:tcMar>
            <w:vAlign w:val="center"/>
          </w:tcPr>
          <w:p>
            <w:pPr>
              <w:pStyle w:val="MdTableCell"/>
            </w:pPr>
            <w:r>
              <w:t xml:space="preserve">Required/matched/missing skills, score components, source spans</w:t>
            </w:r>
          </w:p>
        </w:tc>
        <w:tc>
          <w:tcPr>
            <w:tcBorders>
              <w:right w:val="none"/>
            </w:tcBorders>
            <w:tcMar>
              <w:top w:type="dxa" w:w="80"/>
              <w:left w:type="dxa" w:w="120"/>
              <w:bottom w:type="dxa" w:w="80"/>
              <w:right w:type="dxa" w:w="120"/>
            </w:tcMar>
            <w:vAlign w:val="center"/>
          </w:tcPr>
          <w:p>
            <w:pPr>
              <w:pStyle w:val="MdTableCell"/>
            </w:pPr>
            <w:r>
              <w:t xml:space="preserve">Versioned feature attribution, counterfactual explanations, override analytics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Bias detection</w:t>
            </w:r>
          </w:p>
        </w:tc>
        <w:tc>
          <w:tcPr>
            <w:tcMar>
              <w:top w:type="dxa" w:w="80"/>
              <w:left w:type="dxa" w:w="120"/>
              <w:bottom w:type="dxa" w:w="80"/>
              <w:right w:type="dxa" w:w="120"/>
            </w:tcMar>
            <w:vAlign w:val="center"/>
          </w:tcPr>
          <w:p>
            <w:pPr>
              <w:pStyle w:val="MdTableCell"/>
            </w:pPr>
            <w:r>
              <w:t xml:space="preserve">JD language flags, PII redaction, counterfactual tests, AIR at top-k</w:t>
            </w:r>
          </w:p>
        </w:tc>
        <w:tc>
          <w:tcPr>
            <w:tcBorders>
              <w:right w:val="none"/>
            </w:tcBorders>
            <w:tcMar>
              <w:top w:type="dxa" w:w="80"/>
              <w:left w:type="dxa" w:w="120"/>
              <w:bottom w:type="dxa" w:w="80"/>
              <w:right w:type="dxa" w:w="120"/>
            </w:tcMar>
            <w:vAlign w:val="center"/>
          </w:tcPr>
          <w:p>
            <w:pPr>
              <w:pStyle w:val="MdTableCell"/>
            </w:pPr>
            <w:r>
              <w:t xml:space="preserve">Continuous subgroup monitoring, intersectional analysis, audit-report generator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Human control</w:t>
            </w:r>
          </w:p>
        </w:tc>
        <w:tc>
          <w:tcPr>
            <w:tcMar>
              <w:top w:type="dxa" w:w="80"/>
              <w:left w:type="dxa" w:w="120"/>
              <w:bottom w:type="dxa" w:w="80"/>
              <w:right w:type="dxa" w:w="120"/>
            </w:tcMar>
            <w:vAlign w:val="center"/>
          </w:tcPr>
          <w:p>
            <w:pPr>
              <w:pStyle w:val="MdTableCell"/>
            </w:pPr>
            <w:r>
              <w:t xml:space="preserve">Recruiter review required before advancing a candidate</w:t>
            </w:r>
          </w:p>
        </w:tc>
        <w:tc>
          <w:tcPr>
            <w:tcBorders>
              <w:right w:val="none"/>
            </w:tcBorders>
            <w:tcMar>
              <w:top w:type="dxa" w:w="80"/>
              <w:left w:type="dxa" w:w="120"/>
              <w:bottom w:type="dxa" w:w="80"/>
              <w:right w:type="dxa" w:w="120"/>
            </w:tcMar>
            <w:vAlign w:val="center"/>
          </w:tcPr>
          <w:p>
            <w:pPr>
              <w:pStyle w:val="MdTableCell"/>
            </w:pPr>
            <w:r>
              <w:t xml:space="preserve">Tenant-configurable workflow with hard prohibition on score-only rejection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Privacy</w:t>
            </w:r>
          </w:p>
        </w:tc>
        <w:tc>
          <w:tcPr>
            <w:tcMar>
              <w:top w:type="dxa" w:w="80"/>
              <w:left w:type="dxa" w:w="120"/>
              <w:bottom w:type="dxa" w:w="80"/>
              <w:right w:type="dxa" w:w="120"/>
            </w:tcMar>
            <w:vAlign w:val="center"/>
          </w:tcPr>
          <w:p>
            <w:pPr>
              <w:pStyle w:val="MdTableCell"/>
            </w:pPr>
            <w:r>
              <w:t xml:space="preserve">Tenant isolation, encryption, configurable retention, pseudonymous IDs</w:t>
            </w:r>
          </w:p>
        </w:tc>
        <w:tc>
          <w:tcPr>
            <w:tcBorders>
              <w:right w:val="none"/>
            </w:tcBorders>
            <w:tcMar>
              <w:top w:type="dxa" w:w="80"/>
              <w:left w:type="dxa" w:w="120"/>
              <w:bottom w:type="dxa" w:w="80"/>
              <w:right w:type="dxa" w:w="120"/>
            </w:tcMar>
            <w:vAlign w:val="center"/>
          </w:tcPr>
          <w:p>
            <w:pPr>
              <w:pStyle w:val="MdTableCell"/>
            </w:pPr>
            <w:r>
              <w:t xml:space="preserve">Regional processing, self-hosted inference option, evidence-backed deletion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Evaluation</w:t>
            </w:r>
          </w:p>
        </w:tc>
        <w:tc>
          <w:tcPr>
            <w:tcBorders>
              <w:bottom w:val="single" w:color="E1E4E8" w:sz="4"/>
            </w:tcBorders>
            <w:tcMar>
              <w:top w:type="dxa" w:w="80"/>
              <w:left w:type="dxa" w:w="120"/>
              <w:bottom w:type="dxa" w:w="80"/>
              <w:right w:type="dxa" w:w="120"/>
            </w:tcMar>
            <w:vAlign w:val="center"/>
          </w:tcPr>
          <w:p>
            <w:pPr>
              <w:pStyle w:val="MdTableCell"/>
            </w:pPr>
            <w:r>
              <w:t xml:space="preserve">Gold set of at least 500 resume/JD pairs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2,000–5,000 recruiter-labeled pairs and quarterly model review</w:t>
            </w:r>
          </w:p>
        </w:tc>
      </w:tr>
    </w:tbl>
    <w:p>
      <w:pPr>
        <w:pStyle w:val="Heading2"/>
        <w:pStyle w:val="MdHeading2"/>
      </w:pPr>
      <w:r>
        <w:t xml:space="preserve">2. Problem Statement and Opportunity</w:t>
      </w:r>
    </w:p>
    <w:p>
      <w:pPr>
        <w:pStyle w:val="MdParagraph"/>
      </w:pPr>
      <w:r>
        <w:t xml:space="preserve">Recruiters spend substantial time translating inconsistent resumes and verbose job descriptions into comparable evidence. Keyword-only applicant tracking systems miss synonyms, equivalent career paths, and transferable skills; semantic-only systems can mask hard requirements and encode proxies for socioeconomic status, gender, race, age, disability, language background, or school prestige. Historical shortlist and hiring outcomes are attractive training labels but can reproduce the very preferences an organization is trying to audit.</w:t>
      </w:r>
    </w:p>
    <w:p>
      <w:pPr>
        <w:pStyle w:val="MdSpace"/>
        <w:spacing w:before="0" w:after="60"/>
      </w:pPr>
    </w:p>
    <w:p>
      <w:pPr>
        <w:pStyle w:val="MdParagraph"/>
      </w:pPr>
      <w:r>
        <w:t xml:space="preserve">The opportunity is to make matching </w:t>
      </w:r>
      <w:r>
        <w:rPr>
          <w:rStyle w:val="MdStrong"/>
          <w:b/>
          <w:bCs/>
        </w:rPr>
        <w:t xml:space="preserve">structured, hybrid, and inspectable</w:t>
      </w:r>
      <w:r>
        <w:t xml:space="preserve">. A recruiter should be able to answer: “Which requirements caused this candidate to rank here?”, “Which skills were inferred rather than explicitly stated?”, “What would change if the name, pronouns, photo, address, or graduation year were removed?”, and “Did this model or workflow produce materially different selection rates across groups?” The product should support those questions without requiring recruiters to become data scientists.</w:t>
      </w:r>
    </w:p>
    <w:p>
      <w:pPr>
        <w:pStyle w:val="MdSpace"/>
        <w:spacing w:before="0" w:after="60"/>
      </w:pPr>
    </w:p>
    <w:p>
      <w:pPr>
        <w:pStyle w:val="Heading2"/>
        <w:pStyle w:val="MdHeading2"/>
      </w:pPr>
      <w:r>
        <w:t xml:space="preserve">3. Goals, Non-Goals, and Design Principles</w:t>
      </w:r>
    </w:p>
    <w:p>
      <w:pPr>
        <w:pStyle w:val="Heading3"/>
        <w:pStyle w:val="MdHeading3"/>
      </w:pPr>
      <w:r>
        <w:t xml:space="preserve">3.1 Goals</w:t>
      </w:r>
    </w:p>
    <w:p>
      <w:pPr>
        <w:pStyle w:val="MdParagraph"/>
      </w:pPr>
      <w:r>
        <w:t xml:space="preserve">The product shall:</w:t>
      </w:r>
    </w:p>
    <w:p>
      <w:pPr>
        <w:pStyle w:val="MdSpace"/>
        <w:spacing w:before="0" w:after="60"/>
      </w:pPr>
    </w:p>
    <w:p>
      <w:pPr>
        <w:pStyle w:val="MdListItem"/>
        <w:numPr>
          <w:ilvl w:val="0"/>
          <w:numId w:val="2"/>
        </w:numPr>
      </w:pPr>
      <w:r>
        <w:t xml:space="preserve">Parse PDF, DOCX, image, and plain-text resumes and JDs into a canonical schema with source spans, confidence, provenance, and versioned parser metadata.</w:t>
      </w:r>
    </w:p>
    <w:p>
      <w:pPr>
        <w:pStyle w:val="MdListItem"/>
        <w:numPr>
          <w:ilvl w:val="0"/>
          <w:numId w:val="2"/>
        </w:numPr>
      </w:pPr>
      <w:r>
        <w:t xml:space="preserve">Normalize skills and occupations to an open, stable taxonomy, beginning with ESCO and a controlled emerging-skills overlay.</w:t>
      </w:r>
    </w:p>
    <w:p>
      <w:pPr>
        <w:pStyle w:val="MdListItem"/>
        <w:numPr>
          <w:ilvl w:val="0"/>
          <w:numId w:val="2"/>
        </w:numPr>
      </w:pPr>
      <w:r>
        <w:t xml:space="preserve">Match candidates to roles using both explicit skill evidence and contextual semantic relevance.</w:t>
      </w:r>
    </w:p>
    <w:p>
      <w:pPr>
        <w:pStyle w:val="MdListItem"/>
        <w:numPr>
          <w:ilvl w:val="0"/>
          <w:numId w:val="2"/>
        </w:numPr>
      </w:pPr>
      <w:r>
        <w:t xml:space="preserve">Preserve hard requirements such as licenses, work authorization, clearance, location, and minimum experience as configurable constraints rather than allowing embeddings to override them.</w:t>
      </w:r>
    </w:p>
    <w:p>
      <w:pPr>
        <w:pStyle w:val="MdListItem"/>
        <w:numPr>
          <w:ilvl w:val="0"/>
          <w:numId w:val="2"/>
        </w:numPr>
      </w:pPr>
      <w:r>
        <w:t xml:space="preserve">Provide transparent, role-specific explanations that distinguish explicit evidence, inferred evidence, and missing evidence.</w:t>
      </w:r>
    </w:p>
    <w:p>
      <w:pPr>
        <w:pStyle w:val="MdListItem"/>
        <w:numPr>
          <w:ilvl w:val="0"/>
          <w:numId w:val="2"/>
        </w:numPr>
      </w:pPr>
      <w:r>
        <w:t xml:space="preserve">Detect and report bias in JD wording, parsed features, matching scores, rank exposure, counterfactual variants, and observed recruiter decisions.</w:t>
      </w:r>
    </w:p>
    <w:p>
      <w:pPr>
        <w:pStyle w:val="MdListItem"/>
        <w:numPr>
          <w:ilvl w:val="0"/>
          <w:numId w:val="2"/>
        </w:numPr>
      </w:pPr>
      <w:r>
        <w:t xml:space="preserve">Make human review mandatory for advancement decisions and expose override, disagreement, and uncertainty signals.</w:t>
      </w:r>
    </w:p>
    <w:p>
      <w:pPr>
        <w:pStyle w:val="MdListItem"/>
        <w:numPr>
          <w:ilvl w:val="0"/>
          <w:numId w:val="2"/>
        </w:numPr>
      </w:pPr>
      <w:r>
        <w:t xml:space="preserve">Support audit-ready, tenant-specific reports with immutable model and data-version metadata.</w:t>
      </w:r>
    </w:p>
    <w:p>
      <w:pPr>
        <w:pStyle w:val="MdListItem"/>
        <w:numPr>
          <w:ilvl w:val="0"/>
          <w:numId w:val="2"/>
        </w:numPr>
      </w:pPr>
      <w:r>
        <w:t xml:space="preserve">Provide a self-hosted or private-processing path for customers that cannot send applicant data to an external model provider.</w:t>
      </w:r>
    </w:p>
    <w:p>
      <w:pPr>
        <w:pStyle w:val="MdListItem"/>
        <w:numPr>
          <w:ilvl w:val="0"/>
          <w:numId w:val="2"/>
        </w:numPr>
      </w:pPr>
      <w:r>
        <w:t xml:space="preserve">Establish measurable gates for accuracy, fairness, reliability, latency, privacy, and security before model promotion.</w:t>
      </w:r>
    </w:p>
    <w:p>
      <w:pPr>
        <w:pStyle w:val="MdSpace"/>
        <w:spacing w:before="0" w:after="60"/>
      </w:pPr>
    </w:p>
    <w:p>
      <w:pPr>
        <w:pStyle w:val="Heading3"/>
        <w:pStyle w:val="MdHeading3"/>
      </w:pPr>
      <w:r>
        <w:t xml:space="preserve">3.2 Non-goals for MVP</w:t>
      </w:r>
    </w:p>
    <w:p>
      <w:pPr>
        <w:pStyle w:val="MdParagraph"/>
      </w:pPr>
      <w:r>
        <w:t xml:space="preserve">The MVP shall not make autonomous hire, reject, compensation, promotion, or termination decisions. It shall not infer protected attributes for individual profiling, publish a “culture fit” score, analyze facial expressions or voice, recommend candidate outreach based on demographic stereotypes, or use social-media content as a default signal. It shall not claim that any fairness metric proves the absence of discrimination. It shall not expose a percentage score as if it were a probability of job performance unless it has been calibrated and explicitly labeled.</w:t>
      </w:r>
    </w:p>
    <w:p>
      <w:pPr>
        <w:pStyle w:val="MdSpace"/>
        <w:spacing w:before="0" w:after="60"/>
      </w:pPr>
    </w:p>
    <w:p>
      <w:pPr>
        <w:pStyle w:val="Heading3"/>
        <w:pStyle w:val="MdHeading3"/>
      </w:pPr>
      <w:r>
        <w:t xml:space="preserve">3.3 Design principles</w:t>
      </w:r>
    </w:p>
    <w:p>
      <w:pPr>
        <w:pStyle w:val="MdBlockquote"/>
      </w:pPr>
      <w:r>
        <w:rPr>
          <w:rStyle w:val="MdStrong"/>
          <w:b/>
          <w:bCs/>
        </w:rPr>
        <w:t xml:space="preserve">Evidence over impression.</w:t>
      </w:r>
      <w:r>
        <w:t xml:space="preserve"> Every meaningful score contribution must map to a structured feature, source span, or documented model output.</w:t>
      </w:r>
    </w:p>
    <w:p>
      <w:pPr>
        <w:pStyle w:val="MdSpace"/>
        <w:spacing w:before="0" w:after="60"/>
      </w:pPr>
    </w:p>
    <w:p>
      <w:pPr>
        <w:pStyle w:val="MdBlockquote"/>
      </w:pPr>
      <w:r>
        <w:rPr>
          <w:rStyle w:val="MdStrong"/>
          <w:b/>
          <w:bCs/>
        </w:rPr>
        <w:t xml:space="preserve">Assist, do not decide.</w:t>
      </w:r>
      <w:r>
        <w:t xml:space="preserve"> The system recommends; a qualified human reviews and records the employment decision.</w:t>
      </w:r>
    </w:p>
    <w:p>
      <w:pPr>
        <w:pStyle w:val="MdSpace"/>
        <w:spacing w:before="0" w:after="60"/>
      </w:pPr>
    </w:p>
    <w:p>
      <w:pPr>
        <w:pStyle w:val="MdBlockquote"/>
      </w:pPr>
      <w:r>
        <w:rPr>
          <w:rStyle w:val="MdStrong"/>
          <w:b/>
          <w:bCs/>
        </w:rPr>
        <w:t xml:space="preserve">Separate matching from auditing.</w:t>
      </w:r>
      <w:r>
        <w:t xml:space="preserve"> Sensitive attributes, when voluntarily supplied for lawful aggregate auditing, must be segregated from the ranking pathway and protected with stricter controls.</w:t>
      </w:r>
    </w:p>
    <w:p>
      <w:pPr>
        <w:pStyle w:val="MdSpace"/>
        <w:spacing w:before="0" w:after="60"/>
      </w:pPr>
    </w:p>
    <w:p>
      <w:pPr>
        <w:pStyle w:val="MdBlockquote"/>
      </w:pPr>
      <w:r>
        <w:rPr>
          <w:rStyle w:val="MdStrong"/>
          <w:b/>
          <w:bCs/>
        </w:rPr>
        <w:t xml:space="preserve">Fairness is continuous.</w:t>
      </w:r>
      <w:r>
        <w:t xml:space="preserve"> A one-time pre-launch test is insufficient because documents, roles, populations, recruiters, taxonomies, and model versions change.</w:t>
      </w:r>
    </w:p>
    <w:p>
      <w:pPr>
        <w:pStyle w:val="MdSpace"/>
        <w:spacing w:before="0" w:after="60"/>
      </w:pPr>
    </w:p>
    <w:p>
      <w:pPr>
        <w:pStyle w:val="MdBlockquote"/>
      </w:pPr>
      <w:r>
        <w:rPr>
          <w:rStyle w:val="MdStrong"/>
          <w:b/>
          <w:bCs/>
        </w:rPr>
        <w:t xml:space="preserve">Uncertainty is a product feature.</w:t>
      </w:r>
      <w:r>
        <w:t xml:space="preserve"> Low-confidence parsing, ambiguous skill mapping, out-of-taxonomy skills, and small subgroup sample sizes must be visible rather than hidden.</w:t>
      </w:r>
    </w:p>
    <w:p>
      <w:pPr>
        <w:pStyle w:val="MdSpace"/>
        <w:spacing w:before="0" w:after="60"/>
      </w:pPr>
    </w:p>
    <w:p>
      <w:pPr>
        <w:pStyle w:val="Heading2"/>
        <w:pStyle w:val="MdHeading2"/>
      </w:pPr>
      <w:r>
        <w:t xml:space="preserve">4. Users and Jobs to Be Done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User</w:t>
            </w:r>
          </w:p>
        </w:tc>
        <w:tc>
          <w:tcPr>
            <w:tcMar>
              <w:top w:type="dxa" w:w="100"/>
              <w:left w:type="dxa" w:w="120"/>
              <w:bottom w:type="dxa" w:w="100"/>
              <w:right w:type="dxa" w:w="120"/>
            </w:tcMar>
            <w:vAlign w:val="center"/>
          </w:tcPr>
          <w:p>
            <w:pPr>
              <w:pStyle w:val="MdTableHeader"/>
            </w:pPr>
            <w:r>
              <w:t xml:space="preserve">Primary job to be done</w:t>
            </w:r>
          </w:p>
        </w:tc>
        <w:tc>
          <w:tcPr>
            <w:tcBorders>
              <w:right w:val="none"/>
            </w:tcBorders>
            <w:tcMar>
              <w:top w:type="dxa" w:w="100"/>
              <w:left w:type="dxa" w:w="120"/>
              <w:bottom w:type="dxa" w:w="100"/>
              <w:right w:type="dxa" w:w="120"/>
            </w:tcMar>
            <w:vAlign w:val="center"/>
          </w:tcPr>
          <w:p>
            <w:pPr>
              <w:pStyle w:val="MdTableHeader"/>
            </w:pPr>
            <w:r>
              <w:t xml:space="preserve">Key outputs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Recruiter</w:t>
            </w:r>
          </w:p>
        </w:tc>
        <w:tc>
          <w:tcPr>
            <w:tcMar>
              <w:top w:type="dxa" w:w="80"/>
              <w:left w:type="dxa" w:w="120"/>
              <w:bottom w:type="dxa" w:w="80"/>
              <w:right w:type="dxa" w:w="120"/>
            </w:tcMar>
            <w:vAlign w:val="center"/>
          </w:tcPr>
          <w:p>
            <w:pPr>
              <w:pStyle w:val="MdTableCell"/>
            </w:pPr>
            <w:r>
              <w:t xml:space="preserve">Find qualified candidates quickly without losing relevant nontraditional profiles</w:t>
            </w:r>
          </w:p>
        </w:tc>
        <w:tc>
          <w:tcPr>
            <w:tcBorders>
              <w:right w:val="none"/>
            </w:tcBorders>
            <w:tcMar>
              <w:top w:type="dxa" w:w="80"/>
              <w:left w:type="dxa" w:w="120"/>
              <w:bottom w:type="dxa" w:w="80"/>
              <w:right w:type="dxa" w:w="120"/>
            </w:tcMar>
            <w:vAlign w:val="center"/>
          </w:tcPr>
          <w:p>
            <w:pPr>
              <w:pStyle w:val="MdTableCell"/>
            </w:pPr>
            <w:r>
              <w:t xml:space="preserve">Ranked shortlist, evidence, gaps, filters, comparison, 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Hiring manager</w:t>
            </w:r>
          </w:p>
        </w:tc>
        <w:tc>
          <w:tcPr>
            <w:tcMar>
              <w:top w:type="dxa" w:w="80"/>
              <w:left w:type="dxa" w:w="120"/>
              <w:bottom w:type="dxa" w:w="80"/>
              <w:right w:type="dxa" w:w="120"/>
            </w:tcMar>
            <w:vAlign w:val="center"/>
          </w:tcPr>
          <w:p>
            <w:pPr>
              <w:pStyle w:val="MdTableCell"/>
            </w:pPr>
            <w:r>
              <w:t xml:space="preserve">Understand why candidates are recommended and what trade-offs exist</w:t>
            </w:r>
          </w:p>
        </w:tc>
        <w:tc>
          <w:tcPr>
            <w:tcBorders>
              <w:right w:val="none"/>
            </w:tcBorders>
            <w:tcMar>
              <w:top w:type="dxa" w:w="80"/>
              <w:left w:type="dxa" w:w="120"/>
              <w:bottom w:type="dxa" w:w="80"/>
              <w:right w:type="dxa" w:w="120"/>
            </w:tcMar>
            <w:vAlign w:val="center"/>
          </w:tcPr>
          <w:p>
            <w:pPr>
              <w:pStyle w:val="MdTableCell"/>
            </w:pPr>
            <w:r>
              <w:t xml:space="preserve">Requirement coverage, seniority fit, explainable comparison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HR/DEI lead</w:t>
            </w:r>
          </w:p>
        </w:tc>
        <w:tc>
          <w:tcPr>
            <w:tcMar>
              <w:top w:type="dxa" w:w="80"/>
              <w:left w:type="dxa" w:w="120"/>
              <w:bottom w:type="dxa" w:w="80"/>
              <w:right w:type="dxa" w:w="120"/>
            </w:tcMar>
            <w:vAlign w:val="center"/>
          </w:tcPr>
          <w:p>
            <w:pPr>
              <w:pStyle w:val="MdTableCell"/>
            </w:pPr>
            <w:r>
              <w:t xml:space="preserve">Detect disparate impact and monitor selection patterns</w:t>
            </w:r>
          </w:p>
        </w:tc>
        <w:tc>
          <w:tcPr>
            <w:tcBorders>
              <w:right w:val="none"/>
            </w:tcBorders>
            <w:tcMar>
              <w:top w:type="dxa" w:w="80"/>
              <w:left w:type="dxa" w:w="120"/>
              <w:bottom w:type="dxa" w:w="80"/>
              <w:right w:type="dxa" w:w="120"/>
            </w:tcMar>
            <w:vAlign w:val="center"/>
          </w:tcPr>
          <w:p>
            <w:pPr>
              <w:pStyle w:val="MdTableCell"/>
            </w:pPr>
            <w:r>
              <w:t xml:space="preserve">Fairness dashboard, subgroup slices, alerts, audit exports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Legal/privacy officer</w:t>
            </w:r>
          </w:p>
        </w:tc>
        <w:tc>
          <w:tcPr>
            <w:tcMar>
              <w:top w:type="dxa" w:w="80"/>
              <w:left w:type="dxa" w:w="120"/>
              <w:bottom w:type="dxa" w:w="80"/>
              <w:right w:type="dxa" w:w="120"/>
            </w:tcMar>
            <w:vAlign w:val="center"/>
          </w:tcPr>
          <w:p>
            <w:pPr>
              <w:pStyle w:val="MdTableCell"/>
            </w:pPr>
            <w:r>
              <w:t xml:space="preserve">Demonstrate governance, notices, human oversight, and data lineage</w:t>
            </w:r>
          </w:p>
        </w:tc>
        <w:tc>
          <w:tcPr>
            <w:tcBorders>
              <w:right w:val="none"/>
            </w:tcBorders>
            <w:tcMar>
              <w:top w:type="dxa" w:w="80"/>
              <w:left w:type="dxa" w:w="120"/>
              <w:bottom w:type="dxa" w:w="80"/>
              <w:right w:type="dxa" w:w="120"/>
            </w:tcMar>
            <w:vAlign w:val="center"/>
          </w:tcPr>
          <w:p>
            <w:pPr>
              <w:pStyle w:val="MdTableCell"/>
            </w:pPr>
            <w:r>
              <w:t xml:space="preserve">Model card, audit log, retention evidence, technical file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ML engineer</w:t>
            </w:r>
          </w:p>
        </w:tc>
        <w:tc>
          <w:tcPr>
            <w:tcMar>
              <w:top w:type="dxa" w:w="80"/>
              <w:left w:type="dxa" w:w="120"/>
              <w:bottom w:type="dxa" w:w="80"/>
              <w:right w:type="dxa" w:w="120"/>
            </w:tcMar>
            <w:vAlign w:val="center"/>
          </w:tcPr>
          <w:p>
            <w:pPr>
              <w:pStyle w:val="MdTableCell"/>
            </w:pPr>
            <w:r>
              <w:t xml:space="preserve">Train, evaluate, release, and monitor models</w:t>
            </w:r>
          </w:p>
        </w:tc>
        <w:tc>
          <w:tcPr>
            <w:tcBorders>
              <w:right w:val="none"/>
            </w:tcBorders>
            <w:tcMar>
              <w:top w:type="dxa" w:w="80"/>
              <w:left w:type="dxa" w:w="120"/>
              <w:bottom w:type="dxa" w:w="80"/>
              <w:right w:type="dxa" w:w="120"/>
            </w:tcMar>
            <w:vAlign w:val="center"/>
          </w:tcPr>
          <w:p>
            <w:pPr>
              <w:pStyle w:val="MdTableCell"/>
            </w:pPr>
            <w:r>
              <w:t xml:space="preserve">Datasets, experiments, metrics, feature lineage, rollback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Candidate</w:t>
            </w:r>
          </w:p>
        </w:tc>
        <w:tc>
          <w:tcPr>
            <w:tcMar>
              <w:top w:type="dxa" w:w="80"/>
              <w:left w:type="dxa" w:w="120"/>
              <w:bottom w:type="dxa" w:w="80"/>
              <w:right w:type="dxa" w:w="120"/>
            </w:tcMar>
            <w:vAlign w:val="center"/>
          </w:tcPr>
          <w:p>
            <w:pPr>
              <w:pStyle w:val="MdTableCell"/>
            </w:pPr>
            <w:r>
              <w:t xml:space="preserve">Know whether an automated tool was used and request human review where applicable</w:t>
            </w:r>
          </w:p>
        </w:tc>
        <w:tc>
          <w:tcPr>
            <w:tcBorders>
              <w:right w:val="none"/>
            </w:tcBorders>
            <w:tcMar>
              <w:top w:type="dxa" w:w="80"/>
              <w:left w:type="dxa" w:w="120"/>
              <w:bottom w:type="dxa" w:w="80"/>
              <w:right w:type="dxa" w:w="120"/>
            </w:tcMar>
            <w:vAlign w:val="center"/>
          </w:tcPr>
          <w:p>
            <w:pPr>
              <w:pStyle w:val="MdTableCell"/>
            </w:pPr>
            <w:r>
              <w:t xml:space="preserve">Notice, data-use explanation, correction/appeal path</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Tenant administrator</w:t>
            </w:r>
          </w:p>
        </w:tc>
        <w:tc>
          <w:tcPr>
            <w:tcBorders>
              <w:bottom w:val="single" w:color="E1E4E8" w:sz="4"/>
            </w:tcBorders>
            <w:tcMar>
              <w:top w:type="dxa" w:w="80"/>
              <w:left w:type="dxa" w:w="120"/>
              <w:bottom w:type="dxa" w:w="80"/>
              <w:right w:type="dxa" w:w="120"/>
            </w:tcMar>
            <w:vAlign w:val="center"/>
          </w:tcPr>
          <w:p>
            <w:pPr>
              <w:pStyle w:val="MdTableCell"/>
            </w:pPr>
            <w:r>
              <w:t xml:space="preserve">Configure policies without changing core safety controls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Jurisdiction, retention, thresholds, role-family settings</w:t>
            </w:r>
          </w:p>
        </w:tc>
      </w:tr>
    </w:tbl>
    <w:p>
      <w:pPr>
        <w:pStyle w:val="Heading2"/>
        <w:pStyle w:val="MdHeading2"/>
      </w:pPr>
      <w:r>
        <w:t xml:space="preserve">5. Product Scope and User Experience</w:t>
      </w:r>
    </w:p>
    <w:p>
      <w:pPr>
        <w:pStyle w:val="Heading3"/>
        <w:pStyle w:val="MdHeading3"/>
      </w:pPr>
      <w:r>
        <w:t xml:space="preserve">5.1 Core workflow</w:t>
      </w:r>
    </w:p>
    <w:p>
      <w:pPr>
        <w:pStyle w:val="MdParagraph"/>
      </w:pPr>
      <w:r>
        <w:t xml:space="preserve">A recruiter creates or imports a job requisition, pastes or uploads the JD, and receives a JD quality and bias-analysis panel before matching begins. The recruiter can review explicit required skills, preferred skills, minimum experience, licenses, location rules, schedule, and other constraints. The system labels inferred requirements separately and never silently converts an inferred skill into a hard requirement.</w:t>
      </w:r>
    </w:p>
    <w:p>
      <w:pPr>
        <w:pStyle w:val="MdSpace"/>
        <w:spacing w:before="0" w:after="60"/>
      </w:pPr>
    </w:p>
    <w:p>
      <w:pPr>
        <w:pStyle w:val="MdParagraph"/>
      </w:pPr>
      <w:r>
        <w:t xml:space="preserve">The recruiter uploads resumes or connects an ATS. Each resume is parsed asynchronously. The UI shows parsing confidence and allows corrections. The matcher then applies hard filters, retrieves candidates through lexical and dense methods, reranks the top candidate pool, and displays the shortlist. Each candidate card includes a calibrated relevance band, not a falsely precise probability, together with matched requirements, missing requirements, transferable skills, evidence snippets, uncertainty, and the top score components.</w:t>
      </w:r>
    </w:p>
    <w:p>
      <w:pPr>
        <w:pStyle w:val="MdSpace"/>
        <w:spacing w:before="0" w:after="60"/>
      </w:pPr>
    </w:p>
    <w:p>
      <w:pPr>
        <w:pStyle w:val="MdParagraph"/>
      </w:pPr>
      <w:r>
        <w:t xml:space="preserve">Before a recruiter advances candidates, the product shows the applicable fairness status for the requisition. If the system detects a blocking issue—such as a prohibited JD requirement, severe counterfactual sensitivity, or an AIR alert based on a tenant-provided audit cohort—it does not hide the shortlist. It displays the alert, pauses automated advancement, and requires an authorized human acknowledgement and rationale.</w:t>
      </w:r>
    </w:p>
    <w:p>
      <w:pPr>
        <w:pStyle w:val="MdSpace"/>
        <w:spacing w:before="0" w:after="60"/>
      </w:pPr>
    </w:p>
    <w:p>
      <w:pPr>
        <w:pStyle w:val="Heading3"/>
        <w:pStyle w:val="MdHeading3"/>
      </w:pPr>
      <w:r>
        <w:t xml:space="preserve">5.2 Candidate detail view</w:t>
      </w:r>
    </w:p>
    <w:p>
      <w:pPr>
        <w:pStyle w:val="MdParagraph"/>
      </w:pPr>
      <w:r>
        <w:t xml:space="preserve">The candidate detail view shall include: a structured profile; source spans for every extracted skill and experience fact; explicit versus inferred skill labels; required, preferred, and unknown status; role-family and seniority comparisons; parsing confidence; score components; model and taxonomy versions; a “what changed the rank?” explanation; and a manual correction workflow. The system must display when data was redacted for matching and when a field was excluded from scoring.</w:t>
      </w:r>
    </w:p>
    <w:p>
      <w:pPr>
        <w:pStyle w:val="MdSpace"/>
        <w:spacing w:before="0" w:after="60"/>
      </w:pPr>
    </w:p>
    <w:p>
      <w:pPr>
        <w:pStyle w:val="Heading3"/>
        <w:pStyle w:val="MdHeading3"/>
      </w:pPr>
      <w:r>
        <w:t xml:space="preserve">5.3 JD auditor experience</w:t>
      </w:r>
    </w:p>
    <w:p>
      <w:pPr>
        <w:pStyle w:val="MdParagraph"/>
      </w:pPr>
      <w:r>
        <w:t xml:space="preserve">The JD auditor shall flag gender-coded or exclusionary language, age-coded language, disability or health-related requirements, citizenship or work-authorization wording that may be legally problematic, unnecessary degree or years-of-experience inflation, vague “culture fit” language, and requirements that do not map to the selected occupation or skill family. The UI shall explain that a flag is a review prompt, not a legal conclusion, and allow the recruiter to accept, edit, dismiss, or escalate it. Every action is logged.</w:t>
      </w:r>
    </w:p>
    <w:p>
      <w:pPr>
        <w:pStyle w:val="MdSpace"/>
        <w:spacing w:before="0" w:after="60"/>
      </w:pPr>
    </w:p>
    <w:p>
      <w:pPr>
        <w:pStyle w:val="Heading2"/>
        <w:pStyle w:val="MdHeading2"/>
      </w:pPr>
      <w:r>
        <w:t xml:space="preserve">6. Functional Requirements</w:t>
      </w:r>
    </w:p>
    <w:p>
      <w:pPr>
        <w:pStyle w:val="Heading3"/>
        <w:pStyle w:val="MdHeading3"/>
      </w:pPr>
      <w:r>
        <w:t xml:space="preserve">6.1 Ingestion and document handling</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ID</w:t>
            </w:r>
          </w:p>
        </w:tc>
        <w:tc>
          <w:tcPr>
            <w:tcMar>
              <w:top w:type="dxa" w:w="100"/>
              <w:left w:type="dxa" w:w="120"/>
              <w:bottom w:type="dxa" w:w="100"/>
              <w:right w:type="dxa" w:w="120"/>
            </w:tcMar>
            <w:vAlign w:val="center"/>
          </w:tcPr>
          <w:p>
            <w:pPr>
              <w:pStyle w:val="MdTableHeader"/>
            </w:pPr>
            <w:r>
              <w:t xml:space="preserve">Requirement</w:t>
            </w:r>
          </w:p>
        </w:tc>
        <w:tc>
          <w:tcPr>
            <w:tcMar>
              <w:top w:type="dxa" w:w="100"/>
              <w:left w:type="dxa" w:w="120"/>
              <w:bottom w:type="dxa" w:w="100"/>
              <w:right w:type="dxa" w:w="120"/>
            </w:tcMar>
            <w:vAlign w:val="center"/>
          </w:tcPr>
          <w:p>
            <w:pPr>
              <w:pStyle w:val="MdTableHeader"/>
              <w:jc w:val="right"/>
            </w:pPr>
            <w:r>
              <w:t xml:space="preserve">Priority</w:t>
            </w:r>
          </w:p>
        </w:tc>
        <w:tc>
          <w:tcPr>
            <w:tcBorders>
              <w:right w:val="none"/>
            </w:tcBorders>
            <w:tcMar>
              <w:top w:type="dxa" w:w="100"/>
              <w:left w:type="dxa" w:w="120"/>
              <w:bottom w:type="dxa" w:w="100"/>
              <w:right w:type="dxa" w:w="120"/>
            </w:tcMar>
            <w:vAlign w:val="center"/>
          </w:tcPr>
          <w:p>
            <w:pPr>
              <w:pStyle w:val="MdTableHeader"/>
            </w:pPr>
            <w:r>
              <w:t xml:space="preserve">Acceptance criterion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ING-01</w:t>
            </w:r>
          </w:p>
        </w:tc>
        <w:tc>
          <w:tcPr>
            <w:tcMar>
              <w:top w:type="dxa" w:w="80"/>
              <w:left w:type="dxa" w:w="120"/>
              <w:bottom w:type="dxa" w:w="80"/>
              <w:right w:type="dxa" w:w="120"/>
            </w:tcMar>
            <w:vAlign w:val="center"/>
          </w:tcPr>
          <w:p>
            <w:pPr>
              <w:pStyle w:val="MdTableCell"/>
            </w:pPr>
            <w:r>
              <w:t xml:space="preserve">Accept PDF, DOCX, PNG/JPEG, TXT, and ATS JSON inputs</w:t>
            </w:r>
          </w:p>
        </w:tc>
        <w:tc>
          <w:tcPr>
            <w:tcMar>
              <w:top w:type="dxa" w:w="80"/>
              <w:left w:type="dxa" w:w="120"/>
              <w:bottom w:type="dxa" w:w="80"/>
              <w:right w:type="dxa" w:w="120"/>
            </w:tcMar>
            <w:vAlign w:val="center"/>
          </w:tcPr>
          <w:p>
            <w:pPr>
              <w:pStyle w:val="MdTableCell"/>
              <w:jc w:val="right"/>
            </w:pPr>
            <w:r>
              <w:t xml:space="preserve">P0</w:t>
            </w:r>
          </w:p>
        </w:tc>
        <w:tc>
          <w:tcPr>
            <w:tcBorders>
              <w:right w:val="none"/>
            </w:tcBorders>
            <w:tcMar>
              <w:top w:type="dxa" w:w="80"/>
              <w:left w:type="dxa" w:w="120"/>
              <w:bottom w:type="dxa" w:w="80"/>
              <w:right w:type="dxa" w:w="120"/>
            </w:tcMar>
            <w:vAlign w:val="center"/>
          </w:tcPr>
          <w:p>
            <w:pPr>
              <w:pStyle w:val="MdTableCell"/>
            </w:pPr>
            <w:r>
              <w:t xml:space="preserve">99% of valid test files are classified correctly by MIME and magic bytes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ING-02</w:t>
            </w:r>
          </w:p>
        </w:tc>
        <w:tc>
          <w:tcPr>
            <w:tcMar>
              <w:top w:type="dxa" w:w="80"/>
              <w:left w:type="dxa" w:w="120"/>
              <w:bottom w:type="dxa" w:w="80"/>
              <w:right w:type="dxa" w:w="120"/>
            </w:tcMar>
            <w:vAlign w:val="center"/>
          </w:tcPr>
          <w:p>
            <w:pPr>
              <w:pStyle w:val="MdTableCell"/>
            </w:pPr>
            <w:r>
              <w:t xml:space="preserve">Detect text-based, multi-column, tabular, and scanned documents</w:t>
            </w:r>
          </w:p>
        </w:tc>
        <w:tc>
          <w:tcPr>
            <w:tcMar>
              <w:top w:type="dxa" w:w="80"/>
              <w:left w:type="dxa" w:w="120"/>
              <w:bottom w:type="dxa" w:w="80"/>
              <w:right w:type="dxa" w:w="120"/>
            </w:tcMar>
            <w:vAlign w:val="center"/>
          </w:tcPr>
          <w:p>
            <w:pPr>
              <w:pStyle w:val="MdTableCell"/>
              <w:jc w:val="right"/>
            </w:pPr>
            <w:r>
              <w:t xml:space="preserve">P0</w:t>
            </w:r>
          </w:p>
        </w:tc>
        <w:tc>
          <w:tcPr>
            <w:tcBorders>
              <w:right w:val="none"/>
            </w:tcBorders>
            <w:tcMar>
              <w:top w:type="dxa" w:w="80"/>
              <w:left w:type="dxa" w:w="120"/>
              <w:bottom w:type="dxa" w:w="80"/>
              <w:right w:type="dxa" w:w="120"/>
            </w:tcMar>
            <w:vAlign w:val="center"/>
          </w:tcPr>
          <w:p>
            <w:pPr>
              <w:pStyle w:val="MdTableCell"/>
            </w:pPr>
            <w:r>
              <w:t xml:space="preserve">Router selects the correct path on a labeled layout set with ≥95% accuracy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ING-03</w:t>
            </w:r>
          </w:p>
        </w:tc>
        <w:tc>
          <w:tcPr>
            <w:tcMar>
              <w:top w:type="dxa" w:w="80"/>
              <w:left w:type="dxa" w:w="120"/>
              <w:bottom w:type="dxa" w:w="80"/>
              <w:right w:type="dxa" w:w="120"/>
            </w:tcMar>
            <w:vAlign w:val="center"/>
          </w:tcPr>
          <w:p>
            <w:pPr>
              <w:pStyle w:val="MdTableCell"/>
            </w:pPr>
            <w:r>
              <w:t xml:space="preserve">Preserve page, section, bounding-box, and character offsets where available</w:t>
            </w:r>
          </w:p>
        </w:tc>
        <w:tc>
          <w:tcPr>
            <w:tcMar>
              <w:top w:type="dxa" w:w="80"/>
              <w:left w:type="dxa" w:w="120"/>
              <w:bottom w:type="dxa" w:w="80"/>
              <w:right w:type="dxa" w:w="120"/>
            </w:tcMar>
            <w:vAlign w:val="center"/>
          </w:tcPr>
          <w:p>
            <w:pPr>
              <w:pStyle w:val="MdTableCell"/>
              <w:jc w:val="right"/>
            </w:pPr>
            <w:r>
              <w:t xml:space="preserve">P0</w:t>
            </w:r>
          </w:p>
        </w:tc>
        <w:tc>
          <w:tcPr>
            <w:tcBorders>
              <w:right w:val="none"/>
            </w:tcBorders>
            <w:tcMar>
              <w:top w:type="dxa" w:w="80"/>
              <w:left w:type="dxa" w:w="120"/>
              <w:bottom w:type="dxa" w:w="80"/>
              <w:right w:type="dxa" w:w="120"/>
            </w:tcMar>
            <w:vAlign w:val="center"/>
          </w:tcPr>
          <w:p>
            <w:pPr>
              <w:pStyle w:val="MdTableCell"/>
            </w:pPr>
            <w:r>
              <w:t xml:space="preserve">Every extracted fact has a traceable source reference or explicit “no span” 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ING-04</w:t>
            </w:r>
          </w:p>
        </w:tc>
        <w:tc>
          <w:tcPr>
            <w:tcMar>
              <w:top w:type="dxa" w:w="80"/>
              <w:left w:type="dxa" w:w="120"/>
              <w:bottom w:type="dxa" w:w="80"/>
              <w:right w:type="dxa" w:w="120"/>
            </w:tcMar>
            <w:vAlign w:val="center"/>
          </w:tcPr>
          <w:p>
            <w:pPr>
              <w:pStyle w:val="MdTableCell"/>
            </w:pPr>
            <w:r>
              <w:t xml:space="preserve">Quarantine malformed or suspicious files</w:t>
            </w:r>
          </w:p>
        </w:tc>
        <w:tc>
          <w:tcPr>
            <w:tcMar>
              <w:top w:type="dxa" w:w="80"/>
              <w:left w:type="dxa" w:w="120"/>
              <w:bottom w:type="dxa" w:w="80"/>
              <w:right w:type="dxa" w:w="120"/>
            </w:tcMar>
            <w:vAlign w:val="center"/>
          </w:tcPr>
          <w:p>
            <w:pPr>
              <w:pStyle w:val="MdTableCell"/>
              <w:jc w:val="right"/>
            </w:pPr>
            <w:r>
              <w:t xml:space="preserve">P0</w:t>
            </w:r>
          </w:p>
        </w:tc>
        <w:tc>
          <w:tcPr>
            <w:tcBorders>
              <w:right w:val="none"/>
            </w:tcBorders>
            <w:tcMar>
              <w:top w:type="dxa" w:w="80"/>
              <w:left w:type="dxa" w:w="120"/>
              <w:bottom w:type="dxa" w:w="80"/>
              <w:right w:type="dxa" w:w="120"/>
            </w:tcMar>
            <w:vAlign w:val="center"/>
          </w:tcPr>
          <w:p>
            <w:pPr>
              <w:pStyle w:val="MdTableCell"/>
            </w:pPr>
            <w:r>
              <w:t xml:space="preserve">Unsupported files never reach model execution; user receives an actionable error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ING-05</w:t>
            </w:r>
          </w:p>
        </w:tc>
        <w:tc>
          <w:tcPr>
            <w:tcMar>
              <w:top w:type="dxa" w:w="80"/>
              <w:left w:type="dxa" w:w="120"/>
              <w:bottom w:type="dxa" w:w="80"/>
              <w:right w:type="dxa" w:w="120"/>
            </w:tcMar>
            <w:vAlign w:val="center"/>
          </w:tcPr>
          <w:p>
            <w:pPr>
              <w:pStyle w:val="MdTableCell"/>
            </w:pPr>
            <w:r>
              <w:t xml:space="preserve">Support asynchronous processing and idempotent retries</w:t>
            </w:r>
          </w:p>
        </w:tc>
        <w:tc>
          <w:tcPr>
            <w:tcMar>
              <w:top w:type="dxa" w:w="80"/>
              <w:left w:type="dxa" w:w="120"/>
              <w:bottom w:type="dxa" w:w="80"/>
              <w:right w:type="dxa" w:w="120"/>
            </w:tcMar>
            <w:vAlign w:val="center"/>
          </w:tcPr>
          <w:p>
            <w:pPr>
              <w:pStyle w:val="MdTableCell"/>
              <w:jc w:val="right"/>
            </w:pPr>
            <w:r>
              <w:t xml:space="preserve">P0</w:t>
            </w:r>
          </w:p>
        </w:tc>
        <w:tc>
          <w:tcPr>
            <w:tcBorders>
              <w:right w:val="none"/>
            </w:tcBorders>
            <w:tcMar>
              <w:top w:type="dxa" w:w="80"/>
              <w:left w:type="dxa" w:w="120"/>
              <w:bottom w:type="dxa" w:w="80"/>
              <w:right w:type="dxa" w:w="120"/>
            </w:tcMar>
            <w:vAlign w:val="center"/>
          </w:tcPr>
          <w:p>
            <w:pPr>
              <w:pStyle w:val="MdTableCell"/>
            </w:pPr>
            <w:r>
              <w:t xml:space="preserve">Duplicate upload events do not create duplicate candidate profiles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ING-06</w:t>
            </w:r>
          </w:p>
        </w:tc>
        <w:tc>
          <w:tcPr>
            <w:tcMar>
              <w:top w:type="dxa" w:w="80"/>
              <w:left w:type="dxa" w:w="120"/>
              <w:bottom w:type="dxa" w:w="80"/>
              <w:right w:type="dxa" w:w="120"/>
            </w:tcMar>
            <w:vAlign w:val="center"/>
          </w:tcPr>
          <w:p>
            <w:pPr>
              <w:pStyle w:val="MdTableCell"/>
            </w:pPr>
            <w:r>
              <w:t xml:space="preserve">Detect embedded photos and sensitive fields</w:t>
            </w:r>
          </w:p>
        </w:tc>
        <w:tc>
          <w:tcPr>
            <w:tcMar>
              <w:top w:type="dxa" w:w="80"/>
              <w:left w:type="dxa" w:w="120"/>
              <w:bottom w:type="dxa" w:w="80"/>
              <w:right w:type="dxa" w:w="120"/>
            </w:tcMar>
            <w:vAlign w:val="center"/>
          </w:tcPr>
          <w:p>
            <w:pPr>
              <w:pStyle w:val="MdTableCell"/>
              <w:jc w:val="right"/>
            </w:pPr>
            <w:r>
              <w:t xml:space="preserve">P1</w:t>
            </w:r>
          </w:p>
        </w:tc>
        <w:tc>
          <w:tcPr>
            <w:tcBorders>
              <w:right w:val="none"/>
            </w:tcBorders>
            <w:tcMar>
              <w:top w:type="dxa" w:w="80"/>
              <w:left w:type="dxa" w:w="120"/>
              <w:bottom w:type="dxa" w:w="80"/>
              <w:right w:type="dxa" w:w="120"/>
            </w:tcMar>
            <w:vAlign w:val="center"/>
          </w:tcPr>
          <w:p>
            <w:pPr>
              <w:pStyle w:val="MdTableCell"/>
            </w:pPr>
            <w:r>
              <w:t xml:space="preserve">Photo, name, address, graduation year, and institution fields can be routed to audit-only storage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ING-07</w:t>
            </w:r>
          </w:p>
        </w:tc>
        <w:tc>
          <w:tcPr>
            <w:tcBorders>
              <w:bottom w:val="single" w:color="E1E4E8" w:sz="4"/>
            </w:tcBorders>
            <w:tcMar>
              <w:top w:type="dxa" w:w="80"/>
              <w:left w:type="dxa" w:w="120"/>
              <w:bottom w:type="dxa" w:w="80"/>
              <w:right w:type="dxa" w:w="120"/>
            </w:tcMar>
            <w:vAlign w:val="center"/>
          </w:tcPr>
          <w:p>
            <w:pPr>
              <w:pStyle w:val="MdTableCell"/>
            </w:pPr>
            <w:r>
              <w:t xml:space="preserve">Expose parser confidence and manual correction</w:t>
            </w:r>
          </w:p>
        </w:tc>
        <w:tc>
          <w:tcPr>
            <w:tcBorders>
              <w:bottom w:val="single" w:color="E1E4E8" w:sz="4"/>
            </w:tcBorders>
            <w:tcMar>
              <w:top w:type="dxa" w:w="80"/>
              <w:left w:type="dxa" w:w="120"/>
              <w:bottom w:type="dxa" w:w="80"/>
              <w:right w:type="dxa" w:w="120"/>
            </w:tcMar>
            <w:vAlign w:val="center"/>
          </w:tcPr>
          <w:p>
            <w:pPr>
              <w:pStyle w:val="MdTableCell"/>
              <w:jc w:val="right"/>
            </w:pPr>
            <w:r>
              <w:t xml:space="preserve">P0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Recruiter can correct an extracted date, title, skill, or education record</w:t>
            </w:r>
          </w:p>
        </w:tc>
      </w:tr>
    </w:tbl>
    <w:p>
      <w:pPr>
        <w:pStyle w:val="MdParagraph"/>
      </w:pPr>
      <w:r>
        <w:t xml:space="preserve">Recommended document path: use PyMuPDF or an appropriately licensed alternative for fast text extraction, </w:t>
      </w:r>
      <w:r>
        <w:rPr>
          <w:rStyle w:val="MdCode"/>
          <w:u w:val="single"/>
        </w:rPr>
        <w:t xml:space="preserve">pdfplumber</w:t>
      </w:r>
      <w:r>
        <w:t xml:space="preserve"> for tables, Docling for complex layout, PaddleOCR for scanned documents, and </w:t>
      </w:r>
      <w:r>
        <w:rPr>
          <w:rStyle w:val="MdCode"/>
          <w:u w:val="single"/>
        </w:rPr>
        <w:t xml:space="preserve">python-docx</w:t>
      </w:r>
      <w:r>
        <w:t xml:space="preserve"> for DOCX. Because PyMuPDF may create AGPL licensing obligations in a hosted product, Legal must approve a commercial license or an alternative before production packaging. The router should attempt a fast text path first, detect multi-column or density anomalies, and escalate only when needed.</w:t>
      </w:r>
    </w:p>
    <w:p>
      <w:pPr>
        <w:pStyle w:val="MdSpace"/>
        <w:spacing w:before="0" w:after="60"/>
      </w:pPr>
    </w:p>
    <w:p>
      <w:pPr>
        <w:pStyle w:val="Heading3"/>
        <w:pStyle w:val="MdHeading3"/>
      </w:pPr>
      <w:r>
        <w:t xml:space="preserve">6.2 Information extraction</w:t>
      </w:r>
    </w:p>
    <w:p>
      <w:pPr>
        <w:pStyle w:val="MdParagraph"/>
      </w:pPr>
      <w:r>
        <w:t xml:space="preserve">The canonical extraction schema shall contain </w:t>
      </w:r>
      <w:r>
        <w:rPr>
          <w:rStyle w:val="MdCode"/>
          <w:u w:val="single"/>
        </w:rPr>
        <w:t xml:space="preserve">candidate_id</w:t>
      </w:r>
      <w:r>
        <w:t xml:space="preserve">, </w:t>
      </w:r>
      <w:r>
        <w:rPr>
          <w:rStyle w:val="MdCode"/>
          <w:u w:val="single"/>
        </w:rPr>
        <w:t xml:space="preserve">document_id</w:t>
      </w:r>
      <w:r>
        <w:t xml:space="preserve">, </w:t>
      </w:r>
      <w:r>
        <w:rPr>
          <w:rStyle w:val="MdCode"/>
          <w:u w:val="single"/>
        </w:rPr>
        <w:t xml:space="preserve">language</w:t>
      </w:r>
      <w:r>
        <w:t xml:space="preserve">, </w:t>
      </w:r>
      <w:r>
        <w:rPr>
          <w:rStyle w:val="MdCode"/>
          <w:u w:val="single"/>
        </w:rPr>
        <w:t xml:space="preserve">sections</w:t>
      </w:r>
      <w:r>
        <w:t xml:space="preserve">, </w:t>
      </w:r>
      <w:r>
        <w:rPr>
          <w:rStyle w:val="MdCode"/>
          <w:u w:val="single"/>
        </w:rPr>
        <w:t xml:space="preserve">contact</w:t>
      </w:r>
      <w:r>
        <w:t xml:space="preserve">, </w:t>
      </w:r>
      <w:r>
        <w:rPr>
          <w:rStyle w:val="MdCode"/>
          <w:u w:val="single"/>
        </w:rPr>
        <w:t xml:space="preserve">experience</w:t>
      </w:r>
      <w:r>
        <w:t xml:space="preserve">, </w:t>
      </w:r>
      <w:r>
        <w:rPr>
          <w:rStyle w:val="MdCode"/>
          <w:u w:val="single"/>
        </w:rPr>
        <w:t xml:space="preserve">education</w:t>
      </w:r>
      <w:r>
        <w:t xml:space="preserve">, </w:t>
      </w:r>
      <w:r>
        <w:rPr>
          <w:rStyle w:val="MdCode"/>
          <w:u w:val="single"/>
        </w:rPr>
        <w:t xml:space="preserve">certifications</w:t>
      </w:r>
      <w:r>
        <w:t xml:space="preserve">, </w:t>
      </w:r>
      <w:r>
        <w:rPr>
          <w:rStyle w:val="MdCode"/>
          <w:u w:val="single"/>
        </w:rPr>
        <w:t xml:space="preserve">skills</w:t>
      </w:r>
      <w:r>
        <w:t xml:space="preserve">, </w:t>
      </w:r>
      <w:r>
        <w:rPr>
          <w:rStyle w:val="MdCode"/>
          <w:u w:val="single"/>
        </w:rPr>
        <w:t xml:space="preserve">projects</w:t>
      </w:r>
      <w:r>
        <w:t xml:space="preserve">, </w:t>
      </w:r>
      <w:r>
        <w:rPr>
          <w:rStyle w:val="MdCode"/>
          <w:u w:val="single"/>
        </w:rPr>
        <w:t xml:space="preserve">work_authorization</w:t>
      </w:r>
      <w:r>
        <w:t xml:space="preserve">, </w:t>
      </w:r>
      <w:r>
        <w:rPr>
          <w:rStyle w:val="MdCode"/>
          <w:u w:val="single"/>
        </w:rPr>
        <w:t xml:space="preserve">location</w:t>
      </w:r>
      <w:r>
        <w:t xml:space="preserve">, </w:t>
      </w:r>
      <w:r>
        <w:rPr>
          <w:rStyle w:val="MdCode"/>
          <w:u w:val="single"/>
        </w:rPr>
        <w:t xml:space="preserve">seniority</w:t>
      </w:r>
      <w:r>
        <w:t xml:space="preserve">, </w:t>
      </w:r>
      <w:r>
        <w:rPr>
          <w:rStyle w:val="MdCode"/>
          <w:u w:val="single"/>
        </w:rPr>
        <w:t xml:space="preserve">source_spans</w:t>
      </w:r>
      <w:r>
        <w:t xml:space="preserve">, </w:t>
      </w:r>
      <w:r>
        <w:rPr>
          <w:rStyle w:val="MdCode"/>
          <w:u w:val="single"/>
        </w:rPr>
        <w:t xml:space="preserve">confidence</w:t>
      </w:r>
      <w:r>
        <w:t xml:space="preserve">, </w:t>
      </w:r>
      <w:r>
        <w:rPr>
          <w:rStyle w:val="MdCode"/>
          <w:u w:val="single"/>
        </w:rPr>
        <w:t xml:space="preserve">parser_version</w:t>
      </w:r>
      <w:r>
        <w:t xml:space="preserve">, and </w:t>
      </w:r>
      <w:r>
        <w:rPr>
          <w:rStyle w:val="MdCode"/>
          <w:u w:val="single"/>
        </w:rPr>
        <w:t xml:space="preserve">redaction_metadata</w:t>
      </w:r>
      <w:r>
        <w:t xml:space="preserve">. Every skill record shall include </w:t>
      </w:r>
      <w:r>
        <w:rPr>
          <w:rStyle w:val="MdCode"/>
          <w:u w:val="single"/>
        </w:rPr>
        <w:t xml:space="preserve">surface_form</w:t>
      </w:r>
      <w:r>
        <w:t xml:space="preserve">, </w:t>
      </w:r>
      <w:r>
        <w:rPr>
          <w:rStyle w:val="MdCode"/>
          <w:u w:val="single"/>
        </w:rPr>
        <w:t xml:space="preserve">canonical_skill_id</w:t>
      </w:r>
      <w:r>
        <w:t xml:space="preserve">, </w:t>
      </w:r>
      <w:r>
        <w:rPr>
          <w:rStyle w:val="MdCode"/>
          <w:u w:val="single"/>
        </w:rPr>
        <w:t xml:space="preserve">taxonomy</w:t>
      </w:r>
      <w:r>
        <w:t xml:space="preserve">, </w:t>
      </w:r>
      <w:r>
        <w:rPr>
          <w:rStyle w:val="MdCode"/>
          <w:u w:val="single"/>
        </w:rPr>
        <w:t xml:space="preserve">skill_type</w:t>
      </w:r>
      <w:r>
        <w:t xml:space="preserve">, </w:t>
      </w:r>
      <w:r>
        <w:rPr>
          <w:rStyle w:val="MdCode"/>
          <w:u w:val="single"/>
        </w:rPr>
        <w:t xml:space="preserve">explicit_or_inferred</w:t>
      </w:r>
      <w:r>
        <w:t xml:space="preserve">, </w:t>
      </w:r>
      <w:r>
        <w:rPr>
          <w:rStyle w:val="MdCode"/>
          <w:u w:val="single"/>
        </w:rPr>
        <w:t xml:space="preserve">confidence</w:t>
      </w:r>
      <w:r>
        <w:t xml:space="preserve">, </w:t>
      </w:r>
      <w:r>
        <w:rPr>
          <w:rStyle w:val="MdCode"/>
          <w:u w:val="single"/>
        </w:rPr>
        <w:t xml:space="preserve">source_span</w:t>
      </w:r>
      <w:r>
        <w:t xml:space="preserve">, and </w:t>
      </w:r>
      <w:r>
        <w:rPr>
          <w:rStyle w:val="MdCode"/>
          <w:u w:val="single"/>
        </w:rPr>
        <w:t xml:space="preserve">inference_reason</w:t>
      </w:r>
      <w:r>
        <w:t xml:space="preserve">.</w:t>
      </w:r>
    </w:p>
    <w:p>
      <w:pPr>
        <w:pStyle w:val="MdSpace"/>
        <w:spacing w:before="0" w:after="60"/>
      </w:pPr>
    </w:p>
    <w:p>
      <w:pPr>
        <w:pStyle w:val="MdParagraph"/>
      </w:pPr>
      <w:r>
        <w:t xml:space="preserve">The system shall use a layered strategy. Deterministic rules and a taxonomy lexicon provide a cheap and auditable baseline. A neural skill extractor handles variants and context. A constrained structured-output model may be used for higher-value documents, but extracted strings must be verified against source text or a fuzzy match threshold of at least 0.90; otherwise the fact is marked unverified and excluded from hard scoring. LLM outputs must be cached, temperature-controlled, schema-validated, and versioned.</w:t>
      </w:r>
    </w:p>
    <w:p>
      <w:pPr>
        <w:pStyle w:val="MdSpace"/>
        <w:spacing w:before="0" w:after="60"/>
      </w:pPr>
    </w:p>
    <w:p>
      <w:pPr>
        <w:pStyle w:val="Heading3"/>
        <w:pStyle w:val="MdHeading3"/>
      </w:pPr>
      <w:r>
        <w:t xml:space="preserve">6.3 Skill taxonomy and normalization</w:t>
      </w:r>
    </w:p>
    <w:p>
      <w:pPr>
        <w:pStyle w:val="MdParagraph"/>
      </w:pPr>
      <w:r>
        <w:t xml:space="preserve">ESCO should be the primary open backbone because it provides stable identifiers, occupation-to-skill relationships, multilingual coverage, and an ontology-friendly structure.</w:t>
      </w:r>
      <w:hyperlink w:history="1" r:id="rIdwg_horde2kikhd7ezw1an">
        <w:r>
          <w:rPr>
            <w:rStyle w:val="MdLink"/>
          </w:rPr>
          <w:t xml:space="preserve">1</w:t>
        </w:r>
      </w:hyperlink>
      <w:r>
        <w:t xml:space="preserve"> O*NET should be used for occupation crosswalks and importance signals rather than as the only skill vocabulary.</w:t>
      </w:r>
      <w:hyperlink w:history="1" r:id="rIdu-n6ojldgfjnfku7hlj4k">
        <w:r>
          <w:rPr>
            <w:rStyle w:val="MdLink"/>
          </w:rPr>
          <w:t xml:space="preserve">2</w:t>
        </w:r>
      </w:hyperlink>
      <w:r>
        <w:t xml:space="preserve"> Emerging technical skills may be held in a governed overlay sourced from a licensed or open skills dataset, customer-approved additions, and a quarterly human-review queue.</w:t>
      </w:r>
    </w:p>
    <w:p>
      <w:pPr>
        <w:pStyle w:val="MdSpace"/>
        <w:spacing w:before="0" w:after="60"/>
      </w:pPr>
    </w:p>
    <w:p>
      <w:pPr>
        <w:pStyle w:val="MdParagraph"/>
      </w:pPr>
      <w:r>
        <w:t xml:space="preserve">A skill normalizer shall perform exact alias matching, lexical normalization, embedding retrieval, and optional human or constrained-model verification. A first-pass embedding acceptance threshold of 0.72 is reasonable for taxonomy linking, with a 0.60–0.72 verification band; these values must be tuned on a held-out gold set rather than treated as universal constants. Implicit skills inferred from a job title or occupation must carry a lower default weight than explicit skills and must be visible in the UI.</w:t>
      </w:r>
    </w:p>
    <w:p>
      <w:pPr>
        <w:pStyle w:val="MdSpace"/>
        <w:spacing w:before="0" w:after="60"/>
      </w:pPr>
    </w:p>
    <w:p>
      <w:pPr>
        <w:pStyle w:val="Heading3"/>
        <w:pStyle w:val="MdHeading3"/>
      </w:pPr>
      <w:r>
        <w:t xml:space="preserve">6.4 Matching and ranking</w:t>
      </w:r>
    </w:p>
    <w:p>
      <w:pPr>
        <w:pStyle w:val="MdParagraph"/>
      </w:pPr>
      <w:r>
        <w:t xml:space="preserve">The system shall distinguish hard constraints from relevance signals. Hard constraints include required license or certification, legally valid work authorization requirements, explicit location or work-mode constraints, and minimum experience when configured by the customer. A hard constraint may exclude a candidate only when the data is present, the rule is enabled, the evidence is high confidence, and the tenant’s policy permits exclusion. Missing data must not be treated as negative evidence by default.</w:t>
      </w:r>
    </w:p>
    <w:p>
      <w:pPr>
        <w:pStyle w:val="MdSpace"/>
        <w:spacing w:before="0" w:after="60"/>
      </w:pPr>
    </w:p>
    <w:p>
      <w:pPr>
        <w:pStyle w:val="MdParagraph"/>
      </w:pPr>
      <w:r>
        <w:t xml:space="preserve">Hybrid retrieval should use OpenSearch or Elasticsearch BM25F over weighted fields and a dense encoder in Qdrant, pgvector, or an equivalent store. A starting field weighting is </w:t>
      </w:r>
      <w:r>
        <w:rPr>
          <w:rStyle w:val="MdCode"/>
          <w:u w:val="single"/>
        </w:rPr>
        <w:t xml:space="preserve">skills^3</w:t>
      </w:r>
      <w:r>
        <w:t xml:space="preserve">, </w:t>
      </w:r>
      <w:r>
        <w:rPr>
          <w:rStyle w:val="MdCode"/>
          <w:u w:val="single"/>
        </w:rPr>
        <w:t xml:space="preserve">title^2</w:t>
      </w:r>
      <w:r>
        <w:t xml:space="preserve">, </w:t>
      </w:r>
      <w:r>
        <w:rPr>
          <w:rStyle w:val="MdCode"/>
          <w:u w:val="single"/>
        </w:rPr>
        <w:t xml:space="preserve">experience^1.5</w:t>
      </w:r>
      <w:r>
        <w:t xml:space="preserve">, and general body text </w:t>
      </w:r>
      <w:r>
        <w:rPr>
          <w:rStyle w:val="MdCode"/>
          <w:u w:val="single"/>
        </w:rPr>
        <w:t xml:space="preserve">^1</w:t>
      </w:r>
      <w:r>
        <w:t xml:space="preserve">; initial BM25 parameters may be </w:t>
      </w:r>
      <w:r>
        <w:rPr>
          <w:rStyle w:val="MdCode"/>
          <w:u w:val="single"/>
        </w:rPr>
        <w:t xml:space="preserve">k1=1.2</w:t>
      </w:r>
      <w:r>
        <w:t xml:space="preserve"> and </w:t>
      </w:r>
      <w:r>
        <w:rPr>
          <w:rStyle w:val="MdCode"/>
          <w:u w:val="single"/>
        </w:rPr>
        <w:t xml:space="preserve">b=0.75</w:t>
      </w:r>
      <w:r>
        <w:t xml:space="preserve">, then tuned on labeled data.</w:t>
      </w:r>
      <w:hyperlink w:history="1" r:id="rIdi0p46ese9mgfv39lei-wb">
        <w:r>
          <w:rPr>
            <w:rStyle w:val="MdLink"/>
          </w:rPr>
          <w:t xml:space="preserve">3</w:t>
        </w:r>
      </w:hyperlink>
      <w:r>
        <w:t xml:space="preserve"> Dense retrieval should use </w:t>
      </w:r>
      <w:r>
        <w:rPr>
          <w:rStyle w:val="MdCode"/>
          <w:u w:val="single"/>
        </w:rPr>
        <w:t xml:space="preserve">bge-base-en-v1.5</w:t>
      </w:r>
      <w:r>
        <w:t xml:space="preserve"> or a multilingual model when required. A cross-encoder reranker should be applied only to the top 50–200 candidates to control latency.</w:t>
      </w:r>
      <w:hyperlink w:history="1" r:id="rIdx6_7zidmhys7oy3v5j0so">
        <w:r>
          <w:rPr>
            <w:rStyle w:val="MdLink"/>
          </w:rPr>
          <w:t xml:space="preserve">4</w:t>
        </w:r>
      </w:hyperlink>
    </w:p>
    <w:p>
      <w:pPr>
        <w:pStyle w:val="MdSpace"/>
        <w:spacing w:before="0" w:after="60"/>
      </w:pPr>
    </w:p>
    <w:p>
      <w:pPr>
        <w:pStyle w:val="MdParagraph"/>
      </w:pPr>
      <w:r>
        <w:t xml:space="preserve">The baseline composite score shall be: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final_score = 0.45 * calibrated_rerank_score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+ 0.30 * required_and_preferred_skill_score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+ 0.15 * normalized_keyword_score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+ 0.10 * structured_fit_score</w:t>
      </w:r>
    </w:p>
    <w:p>
      <w:pPr>
        <w:pStyle w:val="MdSpace"/>
        <w:spacing w:before="0" w:after="60"/>
      </w:pPr>
    </w:p>
    <w:p>
      <w:pPr>
        <w:pStyle w:val="MdParagraph"/>
      </w:pPr>
      <w:r>
        <w:t xml:space="preserve">This is an initial product hypothesis, not a scientific constant. The skill score must explicitly distinguish required coverage, preferred coverage, skill recency, and evidence confidence. The structured score should include seniority and years-of-experience alignment but should not reward employer prestige, school prestige, address, writing style, or unexplained “quality” proxies. The final display should use bands such as </w:t>
      </w:r>
      <w:r>
        <w:rPr>
          <w:rStyle w:val="MdCode"/>
          <w:u w:val="single"/>
        </w:rPr>
        <w:t xml:space="preserve">Strong evidence</w:t>
      </w:r>
      <w:r>
        <w:t xml:space="preserve">, </w:t>
      </w:r>
      <w:r>
        <w:rPr>
          <w:rStyle w:val="MdCode"/>
          <w:u w:val="single"/>
        </w:rPr>
        <w:t xml:space="preserve">Promising evidence</w:t>
      </w:r>
      <w:r>
        <w:t xml:space="preserve">, </w:t>
      </w:r>
      <w:r>
        <w:rPr>
          <w:rStyle w:val="MdCode"/>
          <w:u w:val="single"/>
        </w:rPr>
        <w:t xml:space="preserve">Partial evidence</w:t>
      </w:r>
      <w:r>
        <w:t xml:space="preserve">, and </w:t>
      </w:r>
      <w:r>
        <w:rPr>
          <w:rStyle w:val="MdCode"/>
          <w:u w:val="single"/>
        </w:rPr>
        <w:t xml:space="preserve">Insufficient evidence</w:t>
      </w:r>
      <w:r>
        <w:t xml:space="preserve"> until calibration data is adequate.</w:t>
      </w:r>
    </w:p>
    <w:p>
      <w:pPr>
        <w:pStyle w:val="MdSpace"/>
        <w:spacing w:before="0" w:after="60"/>
      </w:pPr>
    </w:p>
    <w:p>
      <w:pPr>
        <w:pStyle w:val="MdParagraph"/>
      </w:pPr>
      <w:r>
        <w:t xml:space="preserve">After at least 2,000–5,000 high-quality recruiter-labeled pairs exist, train a LightGBM LambdaMART model using the component scores and business features. Use SHAP or a surrogate explanation layer for feature-level attribution, and preserve the transparent baseline as a fallback. Do not train directly on hire outcomes without a label-bias review; shortlist and hire outcomes reflect historical recruiter and organizational bias.</w:t>
      </w:r>
    </w:p>
    <w:p>
      <w:pPr>
        <w:pStyle w:val="MdSpace"/>
        <w:spacing w:before="0" w:after="60"/>
      </w:pPr>
    </w:p>
    <w:p>
      <w:pPr>
        <w:pStyle w:val="Heading3"/>
        <w:pStyle w:val="MdHeading3"/>
      </w:pPr>
      <w:r>
        <w:t xml:space="preserve">6.5 Explainability</w:t>
      </w:r>
    </w:p>
    <w:p>
      <w:pPr>
        <w:pStyle w:val="MdParagraph"/>
      </w:pPr>
      <w:r>
        <w:t xml:space="preserve">Every recommendation shall expose: the top matched required skills; matched preferred skills; missing or uncertain requirements; source snippets; explicit versus inferred evidence; seniority and experience comparison; structured constraints; lexical contribution; semantic contribution; reranker contribution; model version; taxonomy version; and a short explanation generated from those structured facts. The explanation generator must not invent facts or cite an employer, degree, date, or skill absent from the extracted record.</w:t>
      </w:r>
    </w:p>
    <w:p>
      <w:pPr>
        <w:pStyle w:val="MdSpace"/>
        <w:spacing w:before="0" w:after="60"/>
      </w:pPr>
    </w:p>
    <w:p>
      <w:pPr>
        <w:pStyle w:val="Heading3"/>
        <w:pStyle w:val="MdHeading3"/>
      </w:pPr>
      <w:r>
        <w:t xml:space="preserve">6.6 Bias detection and mitigation</w:t>
      </w:r>
    </w:p>
    <w:p>
      <w:pPr>
        <w:pStyle w:val="MdParagraph"/>
      </w:pPr>
      <w:r>
        <w:t xml:space="preserve">The bias module shall contain three coordinated subsystems.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Subsystem</w:t>
            </w:r>
          </w:p>
        </w:tc>
        <w:tc>
          <w:tcPr>
            <w:tcMar>
              <w:top w:type="dxa" w:w="100"/>
              <w:left w:type="dxa" w:w="120"/>
              <w:bottom w:type="dxa" w:w="100"/>
              <w:right w:type="dxa" w:w="120"/>
            </w:tcMar>
            <w:vAlign w:val="center"/>
          </w:tcPr>
          <w:p>
            <w:pPr>
              <w:pStyle w:val="MdTableHeader"/>
            </w:pPr>
            <w:r>
              <w:t xml:space="preserve">When it runs</w:t>
            </w:r>
          </w:p>
        </w:tc>
        <w:tc>
          <w:tcPr>
            <w:tcBorders>
              <w:right w:val="none"/>
            </w:tcBorders>
            <w:tcMar>
              <w:top w:type="dxa" w:w="100"/>
              <w:left w:type="dxa" w:w="120"/>
              <w:bottom w:type="dxa" w:w="100"/>
              <w:right w:type="dxa" w:w="120"/>
            </w:tcMar>
            <w:vAlign w:val="center"/>
          </w:tcPr>
          <w:p>
            <w:pPr>
              <w:pStyle w:val="MdTableHeader"/>
            </w:pPr>
            <w:r>
              <w:t xml:space="preserve">Required outputs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JD Auditor</w:t>
            </w:r>
          </w:p>
        </w:tc>
        <w:tc>
          <w:tcPr>
            <w:tcMar>
              <w:top w:type="dxa" w:w="80"/>
              <w:left w:type="dxa" w:w="120"/>
              <w:bottom w:type="dxa" w:w="80"/>
              <w:right w:type="dxa" w:w="120"/>
            </w:tcMar>
            <w:vAlign w:val="center"/>
          </w:tcPr>
          <w:p>
            <w:pPr>
              <w:pStyle w:val="MdTableCell"/>
            </w:pPr>
            <w:r>
              <w:t xml:space="preserve">Before matching and after JD edits</w:t>
            </w:r>
          </w:p>
        </w:tc>
        <w:tc>
          <w:tcPr>
            <w:tcBorders>
              <w:right w:val="none"/>
            </w:tcBorders>
            <w:tcMar>
              <w:top w:type="dxa" w:w="80"/>
              <w:left w:type="dxa" w:w="120"/>
              <w:bottom w:type="dxa" w:w="80"/>
              <w:right w:type="dxa" w:w="120"/>
            </w:tcMar>
            <w:vAlign w:val="center"/>
          </w:tcPr>
          <w:p>
            <w:pPr>
              <w:pStyle w:val="MdTableCell"/>
            </w:pPr>
            <w:r>
              <w:t xml:space="preserve">Language flags, requirement inflation, prohibited or questionable criteria, review actions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Model Auditor</w:t>
            </w:r>
          </w:p>
        </w:tc>
        <w:tc>
          <w:tcPr>
            <w:tcMar>
              <w:top w:type="dxa" w:w="80"/>
              <w:left w:type="dxa" w:w="120"/>
              <w:bottom w:type="dxa" w:w="80"/>
              <w:right w:type="dxa" w:w="120"/>
            </w:tcMar>
            <w:vAlign w:val="center"/>
          </w:tcPr>
          <w:p>
            <w:pPr>
              <w:pStyle w:val="MdTableCell"/>
            </w:pPr>
            <w:r>
              <w:t xml:space="preserve">In CI, pre-release, and scheduled production checks</w:t>
            </w:r>
          </w:p>
        </w:tc>
        <w:tc>
          <w:tcPr>
            <w:tcBorders>
              <w:right w:val="none"/>
            </w:tcBorders>
            <w:tcMar>
              <w:top w:type="dxa" w:w="80"/>
              <w:left w:type="dxa" w:w="120"/>
              <w:bottom w:type="dxa" w:w="80"/>
              <w:right w:type="dxa" w:w="120"/>
            </w:tcMar>
            <w:vAlign w:val="center"/>
          </w:tcPr>
          <w:p>
            <w:pPr>
              <w:pStyle w:val="MdTableCell"/>
            </w:pPr>
            <w:r>
              <w:t xml:space="preserve">Counterfactual score deltas, top-k invariance, subgroup metrics, model-version comparison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Decision Auditor</w:t>
            </w:r>
          </w:p>
        </w:tc>
        <w:tc>
          <w:tcPr>
            <w:tcBorders>
              <w:bottom w:val="single" w:color="E1E4E8" w:sz="4"/>
            </w:tcBorders>
            <w:tcMar>
              <w:top w:type="dxa" w:w="80"/>
              <w:left w:type="dxa" w:w="120"/>
              <w:bottom w:type="dxa" w:w="80"/>
              <w:right w:type="dxa" w:w="120"/>
            </w:tcMar>
            <w:vAlign w:val="center"/>
          </w:tcPr>
          <w:p>
            <w:pPr>
              <w:pStyle w:val="MdTableCell"/>
            </w:pPr>
            <w:r>
              <w:t xml:space="preserve">After recruiter shortlist and advancement actions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Selection rates, AIR, exposure disparity, overrides, uncertainty, sample-size warnings</w:t>
            </w:r>
          </w:p>
        </w:tc>
      </w:tr>
    </w:tbl>
    <w:p>
      <w:pPr>
        <w:pStyle w:val="MdParagraph"/>
      </w:pPr>
      <w:r>
        <w:rPr>
          <w:rStyle w:val="MdStrong"/>
          <w:b/>
          <w:bCs/>
        </w:rPr>
        <w:t xml:space="preserve">JD language audit.</w:t>
      </w:r>
      <w:r>
        <w:t xml:space="preserve"> Maintain a versioned lexicon and classifier for gender-coded, age-coded, ableist, exclusionary, and vague cultural-fit language. Use confidence bands and explanations. Include a reviewer feedback loop so false positives do not silently retrain the model.</w:t>
      </w:r>
    </w:p>
    <w:p>
      <w:pPr>
        <w:pStyle w:val="MdSpace"/>
        <w:spacing w:before="0" w:after="60"/>
      </w:pPr>
    </w:p>
    <w:p>
      <w:pPr>
        <w:pStyle w:val="MdParagraph"/>
      </w:pPr>
      <w:r>
        <w:rPr>
          <w:rStyle w:val="MdStrong"/>
          <w:b/>
          <w:bCs/>
        </w:rPr>
        <w:t xml:space="preserve">PII and proxy redaction.</w:t>
      </w:r>
      <w:r>
        <w:t xml:space="preserve"> Before embedding and rank scoring, redact or mask names, photos, addresses, phone numbers, email addresses, graduation years, and nonessential institution details. Preserve original data in a separate access-controlled display/audit path. Redaction must not remove legitimate skills, licenses, or employment evidence. The system must record what was redacted and why.</w:t>
      </w:r>
    </w:p>
    <w:p>
      <w:pPr>
        <w:pStyle w:val="MdSpace"/>
        <w:spacing w:before="0" w:after="60"/>
      </w:pPr>
    </w:p>
    <w:p>
      <w:pPr>
        <w:pStyle w:val="MdParagraph"/>
      </w:pPr>
      <w:r>
        <w:rPr>
          <w:rStyle w:val="MdStrong"/>
          <w:b/>
          <w:bCs/>
        </w:rPr>
        <w:t xml:space="preserve">Counterfactual tests.</w:t>
      </w:r>
      <w:r>
        <w:t xml:space="preserve"> Generate controlled variants that alter only a protected or proxy field, such as a name, pronoun, graduation year, or address token. Measure score delta and top-k inclusion changes. A starting target is at least 95% top-k invariance and an average absolute score delta below 0.02 on a 0–1 normalized score, but the product must report confidence intervals and sample size. Counterfactual tests are diagnostic evidence, not proof of legal compliance.</w:t>
      </w:r>
    </w:p>
    <w:p>
      <w:pPr>
        <w:pStyle w:val="MdSpace"/>
        <w:spacing w:before="0" w:after="60"/>
      </w:pPr>
    </w:p>
    <w:p>
      <w:pPr>
        <w:pStyle w:val="MdParagraph"/>
      </w:pPr>
      <w:r>
        <w:rPr>
          <w:rStyle w:val="MdStrong"/>
          <w:b/>
          <w:bCs/>
        </w:rPr>
        <w:t xml:space="preserve">Group metrics.</w:t>
      </w:r>
      <w:r>
        <w:t xml:space="preserve"> When a tenant lawfully provides voluntary self-identification data for aggregate auditing, compute metrics ephemerally or in a separately encrypted store. Do not infer or persist race, gender, disability, age, or other protected attributes for individual profiling. Use subgroup metrics only when sample size is sufficient, and display an “insufficient sample” status rather than suppressing uncertainty.</w:t>
      </w:r>
    </w:p>
    <w:p>
      <w:pPr>
        <w:pStyle w:val="MdSpace"/>
        <w:spacing w:before="0" w:after="60"/>
      </w:pPr>
    </w:p>
    <w:p>
      <w:pPr>
        <w:pStyle w:val="MdParagraph"/>
      </w:pPr>
      <w:r>
        <w:t xml:space="preserve">The primary adverse-impact metric is the selection-rate ratio for a group relative to the highest-selection group. The widely used four-fifths heuristic treats a ratio below 0.80 as a review trigger, not an automatic legal finding.</w:t>
      </w:r>
      <w:hyperlink w:history="1" r:id="rId5ipl_k6p5szybtnolovrm">
        <w:r>
          <w:rPr>
            <w:rStyle w:val="MdLink"/>
          </w:rPr>
          <w:t xml:space="preserve">5</w:t>
        </w:r>
      </w:hyperlink>
      <w:r>
        <w:t xml:space="preserve"> Add statistical uncertainty, intersectional slices, exposure-based ranking disparity such as NDKL, and equal-opportunity measures only when a defensible qualification label exists. Ranking fairness should be measured at </w:t>
      </w:r>
      <w:r>
        <w:rPr>
          <w:rStyle w:val="MdCode"/>
          <w:u w:val="single"/>
        </w:rPr>
        <w:t xml:space="preserve">k=10</w:t>
      </w:r>
      <w:r>
        <w:t xml:space="preserve">, </w:t>
      </w:r>
      <w:r>
        <w:rPr>
          <w:rStyle w:val="MdCode"/>
          <w:u w:val="single"/>
        </w:rPr>
        <w:t xml:space="preserve">25</w:t>
      </w:r>
      <w:r>
        <w:t xml:space="preserve">, and </w:t>
      </w:r>
      <w:r>
        <w:rPr>
          <w:rStyle w:val="MdCode"/>
          <w:u w:val="single"/>
        </w:rPr>
        <w:t xml:space="preserve">50</w:t>
      </w:r>
      <w:r>
        <w:t xml:space="preserve">.</w:t>
      </w:r>
    </w:p>
    <w:p>
      <w:pPr>
        <w:pStyle w:val="MdSpace"/>
        <w:spacing w:before="0" w:after="60"/>
      </w:pPr>
    </w:p>
    <w:p>
      <w:pPr>
        <w:pStyle w:val="MdParagraph"/>
      </w:pPr>
      <w:r>
        <w:rPr>
          <w:rStyle w:val="MdStrong"/>
          <w:b/>
          <w:bCs/>
        </w:rPr>
        <w:t xml:space="preserve">Alert policy.</w:t>
      </w:r>
      <w:r>
        <w:t xml:space="preserve"> AIR below 0.80 is a red alert requiring review before a new model or policy is promoted. AIR between 0.80 and 0.90 is a yellow alert requiring monitoring and documented disposition. A counterfactual score delta above 0.05 for a controlled swap requires investigation. Any alert must include the affected model version, cohort definition, sample size, confidence interval, top contributing features, and recommended remediation.</w:t>
      </w:r>
    </w:p>
    <w:p>
      <w:pPr>
        <w:pStyle w:val="MdSpace"/>
        <w:spacing w:before="0" w:after="60"/>
      </w:pPr>
    </w:p>
    <w:p>
      <w:pPr>
        <w:pStyle w:val="Heading3"/>
        <w:pStyle w:val="MdHeading3"/>
      </w:pPr>
      <w:r>
        <w:t xml:space="preserve">6.7 Human oversight and candidate rights</w:t>
      </w:r>
    </w:p>
    <w:p>
      <w:pPr>
        <w:pStyle w:val="MdParagraph"/>
      </w:pPr>
      <w:r>
        <w:t xml:space="preserve">The system shall present recommendations, not final employment decisions. Advancing a candidate requires human confirmation. A tenant may require a second reviewer for red-flagged cohorts or low-confidence cases. The product shall log who reviewed the candidate, what explanation was shown, whether the recruiter overrode the recommendation, and the stated reason.</w:t>
      </w:r>
    </w:p>
    <w:p>
      <w:pPr>
        <w:pStyle w:val="MdSpace"/>
        <w:spacing w:before="0" w:after="60"/>
      </w:pPr>
    </w:p>
    <w:p>
      <w:pPr>
        <w:pStyle w:val="MdParagraph"/>
      </w:pPr>
      <w:r>
        <w:t xml:space="preserve">Tenants shall be able to configure notices for jurisdictions and workflows. Notices should explain that an automated or partially automated tool was used, what categories of information were considered, how to request human review or correction, and how to contact the responsible employer. Because requirements differ by location and may change, the system should use a jurisdiction-aware template registry reviewed by counsel rather than hard-coding legal text.</w:t>
      </w:r>
      <w:hyperlink w:history="1" r:id="rIdfuaboxfcssp3ki-swpx5s">
        <w:r>
          <w:rPr>
            <w:rStyle w:val="MdLink"/>
          </w:rPr>
          <w:t xml:space="preserve">6</w:t>
        </w:r>
      </w:hyperlink>
      <w:r>
        <w:t xml:space="preserve"> </w:t>
      </w:r>
      <w:hyperlink w:history="1" r:id="rIdpvwnfnd4f3nex6qoeuq2f">
        <w:r>
          <w:rPr>
            <w:rStyle w:val="MdLink"/>
          </w:rPr>
          <w:t xml:space="preserve">7</w:t>
        </w:r>
      </w:hyperlink>
    </w:p>
    <w:p>
      <w:pPr>
        <w:pStyle w:val="MdSpace"/>
        <w:spacing w:before="0" w:after="60"/>
      </w:pPr>
    </w:p>
    <w:p>
      <w:pPr>
        <w:pStyle w:val="Heading2"/>
        <w:pStyle w:val="MdHeading2"/>
      </w:pPr>
      <w:r>
        <w:t xml:space="preserve">7. Technical Architecture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flowchart LR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A[ATS / UI / API upload] --&gt; B[Object storage quarantine]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 --&gt; C[Format and malware checks]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 --&gt; D[Document router]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 --&gt; D1[PDF/DOCX text + layout]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 --&gt; D2[OCR 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 --&gt; E[Section segmentation]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 --&gt; F[Structured extraction]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 --&gt; G[PII separation and redaction]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 --&gt; H[Taxonomy normalization]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 --&gt; I[Canonical candidate/JD profiles]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 --&gt; J[BM25/OpenSearch]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 --&gt; K[Dense vectors/Qdrant or pgvector]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J --&gt; L[RRF hybrid retrieval]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K --&gt; 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L --&gt; M[Cross-encoder rerank]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 --&gt; N[Hard constraints + policy checks]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 --&gt; O[Explainable 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 --&gt; P[Recruiter UI/API]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 --&gt; Q[JD and parser audits]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 --&gt; R[Counterfactual/model audits]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 --&gt; S[Decision audit events]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Q --&gt; T[Fairness dashboard/reporting]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 --&gt; 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 --&gt; 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 --&gt; U[Immutable audit store]</w:t>
      </w:r>
    </w:p>
    <w:p>
      <w:pPr>
        <w:pStyle w:val="MdSpace"/>
        <w:spacing w:before="0" w:after="60"/>
      </w:pPr>
    </w:p>
    <w:p>
      <w:pPr>
        <w:pStyle w:val="Heading3"/>
        <w:pStyle w:val="MdHeading3"/>
      </w:pPr>
      <w:r>
        <w:t xml:space="preserve">7.1 Recommended stack</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Layer</w:t>
            </w:r>
          </w:p>
        </w:tc>
        <w:tc>
          <w:tcPr>
            <w:tcMar>
              <w:top w:type="dxa" w:w="100"/>
              <w:left w:type="dxa" w:w="120"/>
              <w:bottom w:type="dxa" w:w="100"/>
              <w:right w:type="dxa" w:w="120"/>
            </w:tcMar>
            <w:vAlign w:val="center"/>
          </w:tcPr>
          <w:p>
            <w:pPr>
              <w:pStyle w:val="MdTableHeader"/>
            </w:pPr>
            <w:r>
              <w:t xml:space="preserve">MVP recommendation</w:t>
            </w:r>
          </w:p>
        </w:tc>
        <w:tc>
          <w:tcPr>
            <w:tcBorders>
              <w:right w:val="none"/>
            </w:tcBorders>
            <w:tcMar>
              <w:top w:type="dxa" w:w="100"/>
              <w:left w:type="dxa" w:w="120"/>
              <w:bottom w:type="dxa" w:w="100"/>
              <w:right w:type="dxa" w:w="120"/>
            </w:tcMar>
            <w:vAlign w:val="center"/>
          </w:tcPr>
          <w:p>
            <w:pPr>
              <w:pStyle w:val="MdTableHeader"/>
            </w:pPr>
            <w:r>
              <w:t xml:space="preserve">Production considerations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API</w:t>
            </w:r>
          </w:p>
        </w:tc>
        <w:tc>
          <w:tcPr>
            <w:tcMar>
              <w:top w:type="dxa" w:w="80"/>
              <w:left w:type="dxa" w:w="120"/>
              <w:bottom w:type="dxa" w:w="80"/>
              <w:right w:type="dxa" w:w="120"/>
            </w:tcMar>
            <w:vAlign w:val="center"/>
          </w:tcPr>
          <w:p>
            <w:pPr>
              <w:pStyle w:val="MdTableCell"/>
            </w:pPr>
            <w:r>
              <w:t xml:space="preserve">FastAPI, Pydantic, OpenAPI</w:t>
            </w:r>
          </w:p>
        </w:tc>
        <w:tc>
          <w:tcPr>
            <w:tcBorders>
              <w:right w:val="none"/>
            </w:tcBorders>
            <w:tcMar>
              <w:top w:type="dxa" w:w="80"/>
              <w:left w:type="dxa" w:w="120"/>
              <w:bottom w:type="dxa" w:w="80"/>
              <w:right w:type="dxa" w:w="120"/>
            </w:tcMar>
            <w:vAlign w:val="center"/>
          </w:tcPr>
          <w:p>
            <w:pPr>
              <w:pStyle w:val="MdTableCell"/>
            </w:pPr>
            <w:r>
              <w:t xml:space="preserve">Tenant-aware auth, rate limits, idempotency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Web app</w:t>
            </w:r>
          </w:p>
        </w:tc>
        <w:tc>
          <w:tcPr>
            <w:tcMar>
              <w:top w:type="dxa" w:w="80"/>
              <w:left w:type="dxa" w:w="120"/>
              <w:bottom w:type="dxa" w:w="80"/>
              <w:right w:type="dxa" w:w="120"/>
            </w:tcMar>
            <w:vAlign w:val="center"/>
          </w:tcPr>
          <w:p>
            <w:pPr>
              <w:pStyle w:val="MdTableCell"/>
            </w:pPr>
            <w:r>
              <w:t xml:space="preserve">React/TypeScript</w:t>
            </w:r>
          </w:p>
        </w:tc>
        <w:tc>
          <w:tcPr>
            <w:tcBorders>
              <w:right w:val="none"/>
            </w:tcBorders>
            <w:tcMar>
              <w:top w:type="dxa" w:w="80"/>
              <w:left w:type="dxa" w:w="120"/>
              <w:bottom w:type="dxa" w:w="80"/>
              <w:right w:type="dxa" w:w="120"/>
            </w:tcMar>
            <w:vAlign w:val="center"/>
          </w:tcPr>
          <w:p>
            <w:pPr>
              <w:pStyle w:val="MdTableCell"/>
            </w:pPr>
            <w:r>
              <w:t xml:space="preserve">Accessible explanations, keyboard-first review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Relational data</w:t>
            </w:r>
          </w:p>
        </w:tc>
        <w:tc>
          <w:tcPr>
            <w:tcMar>
              <w:top w:type="dxa" w:w="80"/>
              <w:left w:type="dxa" w:w="120"/>
              <w:bottom w:type="dxa" w:w="80"/>
              <w:right w:type="dxa" w:w="120"/>
            </w:tcMar>
            <w:vAlign w:val="center"/>
          </w:tcPr>
          <w:p>
            <w:pPr>
              <w:pStyle w:val="MdTableCell"/>
            </w:pPr>
            <w:r>
              <w:t xml:space="preserve">PostgreSQL</w:t>
            </w:r>
          </w:p>
        </w:tc>
        <w:tc>
          <w:tcPr>
            <w:tcBorders>
              <w:right w:val="none"/>
            </w:tcBorders>
            <w:tcMar>
              <w:top w:type="dxa" w:w="80"/>
              <w:left w:type="dxa" w:w="120"/>
              <w:bottom w:type="dxa" w:w="80"/>
              <w:right w:type="dxa" w:w="120"/>
            </w:tcMar>
            <w:vAlign w:val="center"/>
          </w:tcPr>
          <w:p>
            <w:pPr>
              <w:pStyle w:val="MdTableCell"/>
            </w:pPr>
            <w:r>
              <w:t xml:space="preserve">Row-level tenant isolation; encrypted sensitive columns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Search</w:t>
            </w:r>
          </w:p>
        </w:tc>
        <w:tc>
          <w:tcPr>
            <w:tcMar>
              <w:top w:type="dxa" w:w="80"/>
              <w:left w:type="dxa" w:w="120"/>
              <w:bottom w:type="dxa" w:w="80"/>
              <w:right w:type="dxa" w:w="120"/>
            </w:tcMar>
            <w:vAlign w:val="center"/>
          </w:tcPr>
          <w:p>
            <w:pPr>
              <w:pStyle w:val="MdTableCell"/>
            </w:pPr>
            <w:r>
              <w:t xml:space="preserve">OpenSearch BM25F</w:t>
            </w:r>
          </w:p>
        </w:tc>
        <w:tc>
          <w:tcPr>
            <w:tcBorders>
              <w:right w:val="none"/>
            </w:tcBorders>
            <w:tcMar>
              <w:top w:type="dxa" w:w="80"/>
              <w:left w:type="dxa" w:w="120"/>
              <w:bottom w:type="dxa" w:w="80"/>
              <w:right w:type="dxa" w:w="120"/>
            </w:tcMar>
            <w:vAlign w:val="center"/>
          </w:tcPr>
          <w:p>
            <w:pPr>
              <w:pStyle w:val="MdTableCell"/>
            </w:pPr>
            <w:r>
              <w:t xml:space="preserve">Hybrid retrieval and field weighting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Vector store</w:t>
            </w:r>
          </w:p>
        </w:tc>
        <w:tc>
          <w:tcPr>
            <w:tcMar>
              <w:top w:type="dxa" w:w="80"/>
              <w:left w:type="dxa" w:w="120"/>
              <w:bottom w:type="dxa" w:w="80"/>
              <w:right w:type="dxa" w:w="120"/>
            </w:tcMar>
            <w:vAlign w:val="center"/>
          </w:tcPr>
          <w:p>
            <w:pPr>
              <w:pStyle w:val="MdTableCell"/>
            </w:pPr>
            <w:r>
              <w:t xml:space="preserve">pgvector for simplicity or Qdrant for scale</w:t>
            </w:r>
          </w:p>
        </w:tc>
        <w:tc>
          <w:tcPr>
            <w:tcBorders>
              <w:right w:val="none"/>
            </w:tcBorders>
            <w:tcMar>
              <w:top w:type="dxa" w:w="80"/>
              <w:left w:type="dxa" w:w="120"/>
              <w:bottom w:type="dxa" w:w="80"/>
              <w:right w:type="dxa" w:w="120"/>
            </w:tcMar>
            <w:vAlign w:val="center"/>
          </w:tcPr>
          <w:p>
            <w:pPr>
              <w:pStyle w:val="MdTableCell"/>
            </w:pPr>
            <w:r>
              <w:t xml:space="preserve">HNSW, metadata filters, quantization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Async work</w:t>
            </w:r>
          </w:p>
        </w:tc>
        <w:tc>
          <w:tcPr>
            <w:tcMar>
              <w:top w:type="dxa" w:w="80"/>
              <w:left w:type="dxa" w:w="120"/>
              <w:bottom w:type="dxa" w:w="80"/>
              <w:right w:type="dxa" w:w="120"/>
            </w:tcMar>
            <w:vAlign w:val="center"/>
          </w:tcPr>
          <w:p>
            <w:pPr>
              <w:pStyle w:val="MdTableCell"/>
            </w:pPr>
            <w:r>
              <w:t xml:space="preserve">Celery + Redis or a queue service</w:t>
            </w:r>
          </w:p>
        </w:tc>
        <w:tc>
          <w:tcPr>
            <w:tcBorders>
              <w:right w:val="none"/>
            </w:tcBorders>
            <w:tcMar>
              <w:top w:type="dxa" w:w="80"/>
              <w:left w:type="dxa" w:w="120"/>
              <w:bottom w:type="dxa" w:w="80"/>
              <w:right w:type="dxa" w:w="120"/>
            </w:tcMar>
            <w:vAlign w:val="center"/>
          </w:tcPr>
          <w:p>
            <w:pPr>
              <w:pStyle w:val="MdTableCell"/>
            </w:pPr>
            <w:r>
              <w:t xml:space="preserve">Dead-letter queues, retry budgets, tracing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Object storage</w:t>
            </w:r>
          </w:p>
        </w:tc>
        <w:tc>
          <w:tcPr>
            <w:tcMar>
              <w:top w:type="dxa" w:w="80"/>
              <w:left w:type="dxa" w:w="120"/>
              <w:bottom w:type="dxa" w:w="80"/>
              <w:right w:type="dxa" w:w="120"/>
            </w:tcMar>
            <w:vAlign w:val="center"/>
          </w:tcPr>
          <w:p>
            <w:pPr>
              <w:pStyle w:val="MdTableCell"/>
            </w:pPr>
            <w:r>
              <w:t xml:space="preserve">S3-compatible storage</w:t>
            </w:r>
          </w:p>
        </w:tc>
        <w:tc>
          <w:tcPr>
            <w:tcBorders>
              <w:right w:val="none"/>
            </w:tcBorders>
            <w:tcMar>
              <w:top w:type="dxa" w:w="80"/>
              <w:left w:type="dxa" w:w="120"/>
              <w:bottom w:type="dxa" w:w="80"/>
              <w:right w:type="dxa" w:w="120"/>
            </w:tcMar>
            <w:vAlign w:val="center"/>
          </w:tcPr>
          <w:p>
            <w:pPr>
              <w:pStyle w:val="MdTableCell"/>
            </w:pPr>
            <w:r>
              <w:t xml:space="preserve">KMS encryption, lifecycle deletion, quarantine bucket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NLP</w:t>
            </w:r>
          </w:p>
        </w:tc>
        <w:tc>
          <w:tcPr>
            <w:tcMar>
              <w:top w:type="dxa" w:w="80"/>
              <w:left w:type="dxa" w:w="120"/>
              <w:bottom w:type="dxa" w:w="80"/>
              <w:right w:type="dxa" w:w="120"/>
            </w:tcMar>
            <w:vAlign w:val="center"/>
          </w:tcPr>
          <w:p>
            <w:pPr>
              <w:pStyle w:val="MdTableCell"/>
            </w:pPr>
            <w:r>
              <w:t xml:space="preserve">spaCy, taxonomy lexicon, sentence-transformers</w:t>
            </w:r>
          </w:p>
        </w:tc>
        <w:tc>
          <w:tcPr>
            <w:tcBorders>
              <w:right w:val="none"/>
            </w:tcBorders>
            <w:tcMar>
              <w:top w:type="dxa" w:w="80"/>
              <w:left w:type="dxa" w:w="120"/>
              <w:bottom w:type="dxa" w:w="80"/>
              <w:right w:type="dxa" w:w="120"/>
            </w:tcMar>
            <w:vAlign w:val="center"/>
          </w:tcPr>
          <w:p>
            <w:pPr>
              <w:pStyle w:val="MdTableCell"/>
            </w:pPr>
            <w:r>
              <w:t xml:space="preserve">Versioned models and deterministic inference settings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OCR/layout</w:t>
            </w:r>
          </w:p>
        </w:tc>
        <w:tc>
          <w:tcPr>
            <w:tcMar>
              <w:top w:type="dxa" w:w="80"/>
              <w:left w:type="dxa" w:w="120"/>
              <w:bottom w:type="dxa" w:w="80"/>
              <w:right w:type="dxa" w:w="120"/>
            </w:tcMar>
            <w:vAlign w:val="center"/>
          </w:tcPr>
          <w:p>
            <w:pPr>
              <w:pStyle w:val="MdTableCell"/>
            </w:pPr>
            <w:r>
              <w:t xml:space="preserve">PaddleOCR, Docling, licensed managed fallback</w:t>
            </w:r>
          </w:p>
        </w:tc>
        <w:tc>
          <w:tcPr>
            <w:tcBorders>
              <w:right w:val="none"/>
            </w:tcBorders>
            <w:tcMar>
              <w:top w:type="dxa" w:w="80"/>
              <w:left w:type="dxa" w:w="120"/>
              <w:bottom w:type="dxa" w:w="80"/>
              <w:right w:type="dxa" w:w="120"/>
            </w:tcMar>
            <w:vAlign w:val="center"/>
          </w:tcPr>
          <w:p>
            <w:pPr>
              <w:pStyle w:val="MdTableCell"/>
            </w:pPr>
            <w:r>
              <w:t xml:space="preserve">Region and language routing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Reranking</w:t>
            </w:r>
          </w:p>
        </w:tc>
        <w:tc>
          <w:tcPr>
            <w:tcMar>
              <w:top w:type="dxa" w:w="80"/>
              <w:left w:type="dxa" w:w="120"/>
              <w:bottom w:type="dxa" w:w="80"/>
              <w:right w:type="dxa" w:w="120"/>
            </w:tcMar>
            <w:vAlign w:val="center"/>
          </w:tcPr>
          <w:p>
            <w:pPr>
              <w:pStyle w:val="MdTableCell"/>
            </w:pPr>
            <w:r>
              <w:rPr>
                <w:rStyle w:val="MdCode"/>
                <w:u w:val="single"/>
              </w:rPr>
              <w:t xml:space="preserve">bge-reranker-v2-m3</w:t>
            </w:r>
          </w:p>
        </w:tc>
        <w:tc>
          <w:tcPr>
            <w:tcBorders>
              <w:right w:val="none"/>
            </w:tcBorders>
            <w:tcMar>
              <w:top w:type="dxa" w:w="80"/>
              <w:left w:type="dxa" w:w="120"/>
              <w:bottom w:type="dxa" w:w="80"/>
              <w:right w:type="dxa" w:w="120"/>
            </w:tcMar>
            <w:vAlign w:val="center"/>
          </w:tcPr>
          <w:p>
            <w:pPr>
              <w:pStyle w:val="MdTableCell"/>
            </w:pPr>
            <w:r>
              <w:t xml:space="preserve">GPU pool or top-K batch inference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LTR</w:t>
            </w:r>
          </w:p>
        </w:tc>
        <w:tc>
          <w:tcPr>
            <w:tcMar>
              <w:top w:type="dxa" w:w="80"/>
              <w:left w:type="dxa" w:w="120"/>
              <w:bottom w:type="dxa" w:w="80"/>
              <w:right w:type="dxa" w:w="120"/>
            </w:tcMar>
            <w:vAlign w:val="center"/>
          </w:tcPr>
          <w:p>
            <w:pPr>
              <w:pStyle w:val="MdTableCell"/>
            </w:pPr>
            <w:r>
              <w:t xml:space="preserve">LightGBM LambdaMART</w:t>
            </w:r>
          </w:p>
        </w:tc>
        <w:tc>
          <w:tcPr>
            <w:tcBorders>
              <w:right w:val="none"/>
            </w:tcBorders>
            <w:tcMar>
              <w:top w:type="dxa" w:w="80"/>
              <w:left w:type="dxa" w:w="120"/>
              <w:bottom w:type="dxa" w:w="80"/>
              <w:right w:type="dxa" w:w="120"/>
            </w:tcMar>
            <w:vAlign w:val="center"/>
          </w:tcPr>
          <w:p>
            <w:pPr>
              <w:pStyle w:val="MdTableCell"/>
            </w:pPr>
            <w:r>
              <w:t xml:space="preserve">Feature registry, fairness-aware training review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Fairness</w:t>
            </w:r>
          </w:p>
        </w:tc>
        <w:tc>
          <w:tcPr>
            <w:tcMar>
              <w:top w:type="dxa" w:w="80"/>
              <w:left w:type="dxa" w:w="120"/>
              <w:bottom w:type="dxa" w:w="80"/>
              <w:right w:type="dxa" w:w="120"/>
            </w:tcMar>
            <w:vAlign w:val="center"/>
          </w:tcPr>
          <w:p>
            <w:pPr>
              <w:pStyle w:val="MdTableCell"/>
            </w:pPr>
            <w:r>
              <w:t xml:space="preserve">Fairlearn + HolisticAI or equivalent</w:t>
            </w:r>
          </w:p>
        </w:tc>
        <w:tc>
          <w:tcPr>
            <w:tcBorders>
              <w:right w:val="none"/>
            </w:tcBorders>
            <w:tcMar>
              <w:top w:type="dxa" w:w="80"/>
              <w:left w:type="dxa" w:w="120"/>
              <w:bottom w:type="dxa" w:w="80"/>
              <w:right w:type="dxa" w:w="120"/>
            </w:tcMar>
            <w:vAlign w:val="center"/>
          </w:tcPr>
          <w:p>
            <w:pPr>
              <w:pStyle w:val="MdTableCell"/>
            </w:pPr>
            <w:r>
              <w:t xml:space="preserve">Pin versions and add CI regression tests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Observability</w:t>
            </w:r>
          </w:p>
        </w:tc>
        <w:tc>
          <w:tcPr>
            <w:tcMar>
              <w:top w:type="dxa" w:w="80"/>
              <w:left w:type="dxa" w:w="120"/>
              <w:bottom w:type="dxa" w:w="80"/>
              <w:right w:type="dxa" w:w="120"/>
            </w:tcMar>
            <w:vAlign w:val="center"/>
          </w:tcPr>
          <w:p>
            <w:pPr>
              <w:pStyle w:val="MdTableCell"/>
            </w:pPr>
            <w:r>
              <w:t xml:space="preserve">OpenTelemetry, Prometheus, Grafana</w:t>
            </w:r>
          </w:p>
        </w:tc>
        <w:tc>
          <w:tcPr>
            <w:tcBorders>
              <w:right w:val="none"/>
            </w:tcBorders>
            <w:tcMar>
              <w:top w:type="dxa" w:w="80"/>
              <w:left w:type="dxa" w:w="120"/>
              <w:bottom w:type="dxa" w:w="80"/>
              <w:right w:type="dxa" w:w="120"/>
            </w:tcMar>
            <w:vAlign w:val="center"/>
          </w:tcPr>
          <w:p>
            <w:pPr>
              <w:pStyle w:val="MdTableCell"/>
            </w:pPr>
            <w:r>
              <w:t xml:space="preserve">Model, data, fairness, and SLO dashboards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Audit reports</w:t>
            </w:r>
          </w:p>
        </w:tc>
        <w:tc>
          <w:tcPr>
            <w:tcBorders>
              <w:bottom w:val="single" w:color="E1E4E8" w:sz="4"/>
            </w:tcBorders>
            <w:tcMar>
              <w:top w:type="dxa" w:w="80"/>
              <w:left w:type="dxa" w:w="120"/>
              <w:bottom w:type="dxa" w:w="80"/>
              <w:right w:type="dxa" w:w="120"/>
            </w:tcMar>
            <w:vAlign w:val="center"/>
          </w:tcPr>
          <w:p>
            <w:pPr>
              <w:pStyle w:val="MdTableCell"/>
            </w:pPr>
            <w:r>
              <w:t xml:space="preserve">Jinja2 + WeasyPrint or HTML/JSON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Signed export with model/data hashes</w:t>
            </w:r>
          </w:p>
        </w:tc>
      </w:tr>
    </w:tbl>
    <w:p>
      <w:pPr>
        <w:pStyle w:val="Heading3"/>
        <w:pStyle w:val="MdHeading3"/>
      </w:pPr>
      <w:r>
        <w:t xml:space="preserve">7.2 Core services</w:t>
      </w:r>
    </w:p>
    <w:p>
      <w:pPr>
        <w:pStyle w:val="MdParagraph"/>
      </w:pPr>
      <w:r>
        <w:t xml:space="preserve">The system should be decomposed into a document service, extraction service, taxonomy service, profile service, retrieval service, ranking service, explanation service, fairness service, audit service, and configuration service. The MVP can run these as modules in a small number of deployable services; the boundaries should remain explicit so that OCR, inference, and auditing can scale independently.</w:t>
      </w:r>
    </w:p>
    <w:p>
      <w:pPr>
        <w:pStyle w:val="MdSpace"/>
        <w:spacing w:before="0" w:after="60"/>
      </w:pPr>
    </w:p>
    <w:p>
      <w:pPr>
        <w:pStyle w:val="MdParagraph"/>
      </w:pPr>
      <w:r>
        <w:t xml:space="preserve">All model calls must carry </w:t>
      </w:r>
      <w:r>
        <w:rPr>
          <w:rStyle w:val="MdCode"/>
          <w:u w:val="single"/>
        </w:rPr>
        <w:t xml:space="preserve">tenant_id</w:t>
      </w:r>
      <w:r>
        <w:t xml:space="preserve">, </w:t>
      </w:r>
      <w:r>
        <w:rPr>
          <w:rStyle w:val="MdCode"/>
          <w:u w:val="single"/>
        </w:rPr>
        <w:t xml:space="preserve">document_id</w:t>
      </w:r>
      <w:r>
        <w:t xml:space="preserve">, </w:t>
      </w:r>
      <w:r>
        <w:rPr>
          <w:rStyle w:val="MdCode"/>
          <w:u w:val="single"/>
        </w:rPr>
        <w:t xml:space="preserve">model_version</w:t>
      </w:r>
      <w:r>
        <w:t xml:space="preserve">, </w:t>
      </w:r>
      <w:r>
        <w:rPr>
          <w:rStyle w:val="MdCode"/>
          <w:u w:val="single"/>
        </w:rPr>
        <w:t xml:space="preserve">prompt_or_config_version</w:t>
      </w:r>
      <w:r>
        <w:t xml:space="preserve">, </w:t>
      </w:r>
      <w:r>
        <w:rPr>
          <w:rStyle w:val="MdCode"/>
          <w:u w:val="single"/>
        </w:rPr>
        <w:t xml:space="preserve">taxonomy_version</w:t>
      </w:r>
      <w:r>
        <w:t xml:space="preserve">, </w:t>
      </w:r>
      <w:r>
        <w:rPr>
          <w:rStyle w:val="MdCode"/>
          <w:u w:val="single"/>
        </w:rPr>
        <w:t xml:space="preserve">request_id</w:t>
      </w:r>
      <w:r>
        <w:t xml:space="preserve">, and </w:t>
      </w:r>
      <w:r>
        <w:rPr>
          <w:rStyle w:val="MdCode"/>
          <w:u w:val="single"/>
        </w:rPr>
        <w:t xml:space="preserve">trace_id</w:t>
      </w:r>
      <w:r>
        <w:t xml:space="preserve">. The audit event must store hashes of raw inputs and outputs where storing raw PII is not necessary. Mutable operational tables should be complemented by append-only events or object-store snapshots sufficient to reconstruct a decision.</w:t>
      </w:r>
    </w:p>
    <w:p>
      <w:pPr>
        <w:pStyle w:val="MdSpace"/>
        <w:spacing w:before="0" w:after="60"/>
      </w:pPr>
    </w:p>
    <w:p>
      <w:pPr>
        <w:pStyle w:val="Heading2"/>
        <w:pStyle w:val="MdHeading2"/>
      </w:pPr>
      <w:r>
        <w:t xml:space="preserve">8. Data Model</w:t>
      </w:r>
    </w:p>
    <w:p>
      <w:pPr>
        <w:pStyle w:val="Heading3"/>
        <w:pStyle w:val="MdHeading3"/>
      </w:pPr>
      <w:r>
        <w:t xml:space="preserve">8.1 Main entities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Entity</w:t>
            </w:r>
          </w:p>
        </w:tc>
        <w:tc>
          <w:tcPr>
            <w:tcBorders>
              <w:right w:val="none"/>
            </w:tcBorders>
            <w:tcMar>
              <w:top w:type="dxa" w:w="100"/>
              <w:left w:type="dxa" w:w="120"/>
              <w:bottom w:type="dxa" w:w="100"/>
              <w:right w:type="dxa" w:w="120"/>
            </w:tcMar>
            <w:vAlign w:val="center"/>
          </w:tcPr>
          <w:p>
            <w:pPr>
              <w:pStyle w:val="MdTableHeader"/>
            </w:pPr>
            <w:r>
              <w:t xml:space="preserve">Key fields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Tenant</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tenant_id</w:t>
            </w:r>
            <w:r>
              <w:t xml:space="preserve">, region, policy profile, retention policy, DPA 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user_id</w:t>
            </w:r>
            <w:r>
              <w:t xml:space="preserve">, role, tenant, permissions, MFA state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Job</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job_id</w:t>
            </w:r>
            <w:r>
              <w:t xml:space="preserve">, tenant, JD text, structured requirements, status, versions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Candidate</w:t>
            </w:r>
          </w:p>
        </w:tc>
        <w:tc>
          <w:tcPr>
            <w:tcBorders>
              <w:right w:val="none"/>
            </w:tcBorders>
            <w:tcMar>
              <w:top w:type="dxa" w:w="80"/>
              <w:left w:type="dxa" w:w="120"/>
              <w:bottom w:type="dxa" w:w="80"/>
              <w:right w:type="dxa" w:w="120"/>
            </w:tcMar>
            <w:vAlign w:val="center"/>
          </w:tcPr>
          <w:p>
            <w:pPr>
              <w:pStyle w:val="MdTableCell"/>
            </w:pPr>
            <w:r>
              <w:t xml:space="preserve">pseudonymous </w:t>
            </w:r>
            <w:r>
              <w:rPr>
                <w:rStyle w:val="MdCode"/>
                <w:u w:val="single"/>
              </w:rPr>
              <w:t xml:space="preserve">candidate_id</w:t>
            </w:r>
            <w:r>
              <w:t xml:space="preserve">, tenant, display profile, consent/notice state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Document</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document_id</w:t>
            </w:r>
            <w:r>
              <w:t xml:space="preserve">, source, checksum, MIME, storage URI, parse 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SkillEvidence</w:t>
            </w:r>
          </w:p>
        </w:tc>
        <w:tc>
          <w:tcPr>
            <w:tcBorders>
              <w:right w:val="none"/>
            </w:tcBorders>
            <w:tcMar>
              <w:top w:type="dxa" w:w="80"/>
              <w:left w:type="dxa" w:w="120"/>
              <w:bottom w:type="dxa" w:w="80"/>
              <w:right w:type="dxa" w:w="120"/>
            </w:tcMar>
            <w:vAlign w:val="center"/>
          </w:tcPr>
          <w:p>
            <w:pPr>
              <w:pStyle w:val="MdTableCell"/>
            </w:pPr>
            <w:r>
              <w:t xml:space="preserve">surface form, canonical ID, taxonomy, type, confidence, source span, explicit/inferred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Match</w:t>
            </w:r>
          </w:p>
        </w:tc>
        <w:tc>
          <w:tcPr>
            <w:tcBorders>
              <w:right w:val="none"/>
            </w:tcBorders>
            <w:tcMar>
              <w:top w:type="dxa" w:w="80"/>
              <w:left w:type="dxa" w:w="120"/>
              <w:bottom w:type="dxa" w:w="80"/>
              <w:right w:type="dxa" w:w="120"/>
            </w:tcMar>
            <w:vAlign w:val="center"/>
          </w:tcPr>
          <w:p>
            <w:pPr>
              <w:pStyle w:val="MdTableCell"/>
            </w:pPr>
            <w:r>
              <w:t xml:space="preserve">job, candidate, score band, component scores, model versions, explanation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AuditCohort</w:t>
            </w:r>
          </w:p>
        </w:tc>
        <w:tc>
          <w:tcPr>
            <w:tcBorders>
              <w:right w:val="none"/>
            </w:tcBorders>
            <w:tcMar>
              <w:top w:type="dxa" w:w="80"/>
              <w:left w:type="dxa" w:w="120"/>
              <w:bottom w:type="dxa" w:w="80"/>
              <w:right w:type="dxa" w:w="120"/>
            </w:tcMar>
            <w:vAlign w:val="center"/>
          </w:tcPr>
          <w:p>
            <w:pPr>
              <w:pStyle w:val="MdTableCell"/>
            </w:pPr>
            <w:r>
              <w:t xml:space="preserve">cohort definition, lawful data source, sample sizes, time window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FairnessRun</w:t>
            </w:r>
          </w:p>
        </w:tc>
        <w:tc>
          <w:tcPr>
            <w:tcBorders>
              <w:right w:val="none"/>
            </w:tcBorders>
            <w:tcMar>
              <w:top w:type="dxa" w:w="80"/>
              <w:left w:type="dxa" w:w="120"/>
              <w:bottom w:type="dxa" w:w="80"/>
              <w:right w:type="dxa" w:w="120"/>
            </w:tcMar>
            <w:vAlign w:val="center"/>
          </w:tcPr>
          <w:p>
            <w:pPr>
              <w:pStyle w:val="MdTableCell"/>
            </w:pPr>
            <w:r>
              <w:t xml:space="preserve">model version, metrics, slices, confidence intervals, disposition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ReviewAction</w:t>
            </w:r>
          </w:p>
        </w:tc>
        <w:tc>
          <w:tcPr>
            <w:tcBorders>
              <w:right w:val="none"/>
            </w:tcBorders>
            <w:tcMar>
              <w:top w:type="dxa" w:w="80"/>
              <w:left w:type="dxa" w:w="120"/>
              <w:bottom w:type="dxa" w:w="80"/>
              <w:right w:type="dxa" w:w="120"/>
            </w:tcMar>
            <w:vAlign w:val="center"/>
          </w:tcPr>
          <w:p>
            <w:pPr>
              <w:pStyle w:val="MdTableCell"/>
            </w:pPr>
            <w:r>
              <w:t xml:space="preserve">reviewer, action, reason, timestamp, displayed explanation version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ModelRelease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artifact hash, dataset hash, metrics, approvals, rollback pointer</w:t>
            </w:r>
          </w:p>
        </w:tc>
      </w:tr>
    </w:tbl>
    <w:p>
      <w:pPr>
        <w:pStyle w:val="Heading3"/>
        <w:pStyle w:val="MdHeading3"/>
      </w:pPr>
      <w:r>
        <w:t xml:space="preserve">8.2 Pseudonymous protected-data separation</w:t>
      </w:r>
    </w:p>
    <w:p>
      <w:pPr>
        <w:pStyle w:val="MdParagraph"/>
      </w:pPr>
      <w:r>
        <w:t xml:space="preserve">A tenant may submit voluntary aggregate demographic labels through a separate encrypted endpoint. The ranking service must receive only a cohort membership token or an audit-job join key, never the attribute itself. Individual-level attribute storage must be opt-in, access-controlled, purpose-limited, and covered by documented retention and deletion policies. Proxy inference such as surname or geography-based race estimation should not be a default product feature.</w:t>
      </w:r>
    </w:p>
    <w:p>
      <w:pPr>
        <w:pStyle w:val="MdSpace"/>
        <w:spacing w:before="0" w:after="60"/>
      </w:pPr>
    </w:p>
    <w:p>
      <w:pPr>
        <w:pStyle w:val="Heading2"/>
        <w:pStyle w:val="MdHeading2"/>
      </w:pPr>
      <w:r>
        <w:t xml:space="preserve">9. API and Event Requirements</w:t>
      </w:r>
    </w:p>
    <w:p>
      <w:pPr>
        <w:pStyle w:val="Heading3"/>
        <w:pStyle w:val="MdHeading3"/>
      </w:pPr>
      <w:r>
        <w:t xml:space="preserve">9.1 Representative API endpoints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Endpoint</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POST /v1/jobs</w:t>
            </w:r>
          </w:p>
        </w:tc>
        <w:tc>
          <w:tcPr>
            <w:tcBorders>
              <w:right w:val="none"/>
            </w:tcBorders>
            <w:tcMar>
              <w:top w:type="dxa" w:w="80"/>
              <w:left w:type="dxa" w:w="120"/>
              <w:bottom w:type="dxa" w:w="80"/>
              <w:right w:type="dxa" w:w="120"/>
            </w:tcMar>
            <w:vAlign w:val="center"/>
          </w:tcPr>
          <w:p>
            <w:pPr>
              <w:pStyle w:val="MdTableCell"/>
            </w:pPr>
            <w:r>
              <w:t xml:space="preserve">Create job and start JD parsing/audit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POST /v1/documents</w:t>
            </w:r>
          </w:p>
        </w:tc>
        <w:tc>
          <w:tcPr>
            <w:tcBorders>
              <w:right w:val="none"/>
            </w:tcBorders>
            <w:tcMar>
              <w:top w:type="dxa" w:w="80"/>
              <w:left w:type="dxa" w:w="120"/>
              <w:bottom w:type="dxa" w:w="80"/>
              <w:right w:type="dxa" w:w="120"/>
            </w:tcMar>
            <w:vAlign w:val="center"/>
          </w:tcPr>
          <w:p>
            <w:pPr>
              <w:pStyle w:val="MdTableCell"/>
            </w:pPr>
            <w:r>
              <w:t xml:space="preserve">Upload resume or JD with idempotency key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GET /v1/documents/{id}</w:t>
            </w:r>
          </w:p>
        </w:tc>
        <w:tc>
          <w:tcPr>
            <w:tcBorders>
              <w:right w:val="none"/>
            </w:tcBorders>
            <w:tcMar>
              <w:top w:type="dxa" w:w="80"/>
              <w:left w:type="dxa" w:w="120"/>
              <w:bottom w:type="dxa" w:w="80"/>
              <w:right w:type="dxa" w:w="120"/>
            </w:tcMar>
            <w:vAlign w:val="center"/>
          </w:tcPr>
          <w:p>
            <w:pPr>
              <w:pStyle w:val="MdTableCell"/>
            </w:pPr>
            <w:r>
              <w:t xml:space="preserve">Retrieve parse status, confidence, and corrections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POST /v1/matches/search</w:t>
            </w:r>
          </w:p>
        </w:tc>
        <w:tc>
          <w:tcPr>
            <w:tcBorders>
              <w:right w:val="none"/>
            </w:tcBorders>
            <w:tcMar>
              <w:top w:type="dxa" w:w="80"/>
              <w:left w:type="dxa" w:w="120"/>
              <w:bottom w:type="dxa" w:w="80"/>
              <w:right w:type="dxa" w:w="120"/>
            </w:tcMar>
            <w:vAlign w:val="center"/>
          </w:tcPr>
          <w:p>
            <w:pPr>
              <w:pStyle w:val="MdTableCell"/>
            </w:pPr>
            <w:r>
              <w:t xml:space="preserve">Search candidates for a job with policy filters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GET /v1/matches/{id}</w:t>
            </w:r>
          </w:p>
        </w:tc>
        <w:tc>
          <w:tcPr>
            <w:tcBorders>
              <w:right w:val="none"/>
            </w:tcBorders>
            <w:tcMar>
              <w:top w:type="dxa" w:w="80"/>
              <w:left w:type="dxa" w:w="120"/>
              <w:bottom w:type="dxa" w:w="80"/>
              <w:right w:type="dxa" w:w="120"/>
            </w:tcMar>
            <w:vAlign w:val="center"/>
          </w:tcPr>
          <w:p>
            <w:pPr>
              <w:pStyle w:val="MdTableCell"/>
            </w:pPr>
            <w:r>
              <w:t xml:space="preserve">Retrieve score, evidence, explanation, and versions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POST /v1/reviews</w:t>
            </w:r>
          </w:p>
        </w:tc>
        <w:tc>
          <w:tcPr>
            <w:tcBorders>
              <w:right w:val="none"/>
            </w:tcBorders>
            <w:tcMar>
              <w:top w:type="dxa" w:w="80"/>
              <w:left w:type="dxa" w:w="120"/>
              <w:bottom w:type="dxa" w:w="80"/>
              <w:right w:type="dxa" w:w="120"/>
            </w:tcMar>
            <w:vAlign w:val="center"/>
          </w:tcPr>
          <w:p>
            <w:pPr>
              <w:pStyle w:val="MdTableCell"/>
            </w:pPr>
            <w:r>
              <w:t xml:space="preserve">Record recruiter advance, hold, reject, or override 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POST /v1/audits/counterfactual</w:t>
            </w:r>
          </w:p>
        </w:tc>
        <w:tc>
          <w:tcPr>
            <w:tcBorders>
              <w:right w:val="none"/>
            </w:tcBorders>
            <w:tcMar>
              <w:top w:type="dxa" w:w="80"/>
              <w:left w:type="dxa" w:w="120"/>
              <w:bottom w:type="dxa" w:w="80"/>
              <w:right w:type="dxa" w:w="120"/>
            </w:tcMar>
            <w:vAlign w:val="center"/>
          </w:tcPr>
          <w:p>
            <w:pPr>
              <w:pStyle w:val="MdTableCell"/>
            </w:pPr>
            <w:r>
              <w:t xml:space="preserve">Run controlled input-swap suite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POST /v1/audits/fairness</w:t>
            </w:r>
          </w:p>
        </w:tc>
        <w:tc>
          <w:tcPr>
            <w:tcBorders>
              <w:right w:val="none"/>
            </w:tcBorders>
            <w:tcMar>
              <w:top w:type="dxa" w:w="80"/>
              <w:left w:type="dxa" w:w="120"/>
              <w:bottom w:type="dxa" w:w="80"/>
              <w:right w:type="dxa" w:w="120"/>
            </w:tcMar>
            <w:vAlign w:val="center"/>
          </w:tcPr>
          <w:p>
            <w:pPr>
              <w:pStyle w:val="MdTableCell"/>
            </w:pPr>
            <w:r>
              <w:t xml:space="preserve">Compute cohort metrics for a time window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GET /v1/audits/{id}/report</w:t>
            </w:r>
          </w:p>
        </w:tc>
        <w:tc>
          <w:tcPr>
            <w:tcBorders>
              <w:right w:val="none"/>
            </w:tcBorders>
            <w:tcMar>
              <w:top w:type="dxa" w:w="80"/>
              <w:left w:type="dxa" w:w="120"/>
              <w:bottom w:type="dxa" w:w="80"/>
              <w:right w:type="dxa" w:w="120"/>
            </w:tcMar>
            <w:vAlign w:val="center"/>
          </w:tcPr>
          <w:p>
            <w:pPr>
              <w:pStyle w:val="MdTableCell"/>
            </w:pPr>
            <w:r>
              <w:t xml:space="preserve">Export JSON/HTML/PDF audit report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GET /v1/models/{version}/card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Retrieve model card and approval evidence</w:t>
            </w:r>
          </w:p>
        </w:tc>
      </w:tr>
    </w:tbl>
    <w:p>
      <w:pPr>
        <w:pStyle w:val="Heading3"/>
        <w:pStyle w:val="MdHeading3"/>
      </w:pPr>
      <w:r>
        <w:t xml:space="preserve">9.2 Match response contract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"match_id": "m_123",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"candidate_id": "c_456",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"job_id": "j_789",</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"relevance_band": "Promising evidence",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"score_components":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"required_skill_score": 0.84,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"preferred_skill_score": 0.51,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"keyword_score": 0.73,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"semantic_score": 0.79,</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"structured_fit_score": 0.68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"evidence":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"matched_required":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"matched_preferred":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"missing_required":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"uncertain":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"inferred_evidence":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"hard_constraints": {"status": "passed", "unknown_count": 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"explanation": "Structured explanation generated only from the evidence above.",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"model_version": "ranker_2026_08_01",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"taxonomy_version": "esco_1_2_plus_overlay_2026_07",</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"audit": {"pii_redacted_for_matching": true, "human_review_required": true}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Space"/>
        <w:spacing w:before="0" w:after="60"/>
      </w:pPr>
    </w:p>
    <w:p>
      <w:pPr>
        <w:pStyle w:val="Heading2"/>
        <w:pStyle w:val="MdHeading2"/>
      </w:pPr>
      <w:r>
        <w:t xml:space="preserve">10. Dataset and Model Development Plan</w:t>
      </w:r>
    </w:p>
    <w:p>
      <w:pPr>
        <w:pStyle w:val="Heading3"/>
        <w:pStyle w:val="MdHeading3"/>
      </w:pPr>
      <w:r>
        <w:t xml:space="preserve">10.1 Data sources</w:t>
      </w:r>
    </w:p>
    <w:p>
      <w:pPr>
        <w:pStyle w:val="MdParagraph"/>
      </w:pPr>
      <w:r>
        <w:t xml:space="preserve">Use licensed or clearly redistributable data for development. Public datasets such as the 1,031-example resume/JD matching set on Hugging Face can bootstrap schema and evaluation experiments but must not be treated as representative truth.</w:t>
      </w:r>
      <w:hyperlink w:history="1" r:id="rIdt83uliqwcja0vabmhomty">
        <w:r>
          <w:rPr>
            <w:rStyle w:val="MdLink"/>
          </w:rPr>
          <w:t xml:space="preserve">8</w:t>
        </w:r>
      </w:hyperlink>
      <w:r>
        <w:t xml:space="preserve"> Kaggle and scraped datasets require a license and provenance review before commercial training. Do not scrape LinkedIn, job boards, or applicant systems into a production training set without explicit legal and contractual approval.</w:t>
      </w:r>
    </w:p>
    <w:p>
      <w:pPr>
        <w:pStyle w:val="MdSpace"/>
        <w:spacing w:before="0" w:after="60"/>
      </w:pPr>
    </w:p>
    <w:p>
      <w:pPr>
        <w:pStyle w:val="MdParagraph"/>
      </w:pPr>
      <w:r>
        <w:t xml:space="preserve">Build three datasets: a parsing gold set with labeled spans and sections; a matching gold set with recruiter judgments; and a fairness test suite with counterfactual variants and voluntary aggregate audit cohorts. Synthetic data can increase coverage of rare formats and counterfactuals but must remain separate from real-world validation and be labeled as synthetic.</w:t>
      </w:r>
    </w:p>
    <w:p>
      <w:pPr>
        <w:pStyle w:val="MdSpace"/>
        <w:spacing w:before="0" w:after="60"/>
      </w:pPr>
    </w:p>
    <w:p>
      <w:pPr>
        <w:pStyle w:val="Heading3"/>
        <w:pStyle w:val="MdHeading3"/>
      </w:pPr>
      <w:r>
        <w:t xml:space="preserve">10.2 Annotation plan</w:t>
      </w:r>
    </w:p>
    <w:p>
      <w:pPr>
        <w:pStyle w:val="MdParagraph"/>
      </w:pPr>
      <w:r>
        <w:t xml:space="preserve">During weeks 3–8, label at least 500 resumes and 500 JDs for extraction quality and 2,000–5,000 resume/JD pairs for relevance. Prefer pairwise judgments—candidate A, candidate B, same JD—because ranking is the product task. Each judgment should capture relevance, required-skill sufficiency, confidence, and reason codes. Use two annotators for a stratified sample and calculate agreement. Resolve disagreements through adjudication, not majority vote alone.</w:t>
      </w:r>
    </w:p>
    <w:p>
      <w:pPr>
        <w:pStyle w:val="MdSpace"/>
        <w:spacing w:before="0" w:after="60"/>
      </w:pPr>
    </w:p>
    <w:p>
      <w:pPr>
        <w:pStyle w:val="MdParagraph"/>
      </w:pPr>
      <w:r>
        <w:t xml:space="preserve">Use active learning to select uncertain and high-disagreement examples. Hard-negative mining should select candidates who are semantically similar but fail a hard requirement, as well as candidates who use noncanonical terminology for valid skills. Historical recruiter outcomes may be used as a secondary signal only after documenting label bias and applying slice-level monitoring.</w:t>
      </w:r>
    </w:p>
    <w:p>
      <w:pPr>
        <w:pStyle w:val="MdSpace"/>
        <w:spacing w:before="0" w:after="60"/>
      </w:pPr>
    </w:p>
    <w:p>
      <w:pPr>
        <w:pStyle w:val="Heading3"/>
        <w:pStyle w:val="MdHeading3"/>
      </w:pPr>
      <w:r>
        <w:t xml:space="preserve">10.3 Training sequence</w:t>
      </w:r>
    </w:p>
    <w:p>
      <w:pPr>
        <w:pStyle w:val="MdListItem"/>
        <w:numPr>
          <w:ilvl w:val="0"/>
          <w:numId w:val="2"/>
        </w:numPr>
      </w:pPr>
      <w:r>
        <w:t xml:space="preserve">Establish deterministic extraction, taxonomy linking, BM25, and rule-based scoring.</w:t>
      </w:r>
    </w:p>
    <w:p>
      <w:pPr>
        <w:pStyle w:val="MdListItem"/>
        <w:numPr>
          <w:ilvl w:val="0"/>
          <w:numId w:val="2"/>
        </w:numPr>
      </w:pPr>
      <w:r>
        <w:t xml:space="preserve">Establish dense retrieval with a frozen general-purpose encoder.</w:t>
      </w:r>
    </w:p>
    <w:p>
      <w:pPr>
        <w:pStyle w:val="MdListItem"/>
        <w:numPr>
          <w:ilvl w:val="0"/>
          <w:numId w:val="2"/>
        </w:numPr>
      </w:pPr>
      <w:r>
        <w:t xml:space="preserve">Tune the composite score on the matching gold set.</w:t>
      </w:r>
    </w:p>
    <w:p>
      <w:pPr>
        <w:pStyle w:val="MdListItem"/>
        <w:numPr>
          <w:ilvl w:val="0"/>
          <w:numId w:val="2"/>
        </w:numPr>
      </w:pPr>
      <w:r>
        <w:t xml:space="preserve">Fine-tune the bi-encoder with multiple-negatives ranking loss and hard negatives.</w:t>
      </w:r>
    </w:p>
    <w:p>
      <w:pPr>
        <w:pStyle w:val="MdListItem"/>
        <w:numPr>
          <w:ilvl w:val="0"/>
          <w:numId w:val="2"/>
        </w:numPr>
      </w:pPr>
      <w:r>
        <w:t xml:space="preserve">Fine-tune the cross-encoder only after the retrieval candidate pool is stable.</w:t>
      </w:r>
    </w:p>
    <w:p>
      <w:pPr>
        <w:pStyle w:val="MdListItem"/>
        <w:numPr>
          <w:ilvl w:val="0"/>
          <w:numId w:val="2"/>
        </w:numPr>
      </w:pPr>
      <w:r>
        <w:t xml:space="preserve">Train LambdaMART when sufficient role-family coverage and recruiter labels exist.</w:t>
      </w:r>
    </w:p>
    <w:p>
      <w:pPr>
        <w:pStyle w:val="MdListItem"/>
        <w:numPr>
          <w:ilvl w:val="0"/>
          <w:numId w:val="2"/>
        </w:numPr>
      </w:pPr>
      <w:r>
        <w:t xml:space="preserve">Calibrate displayed relevance bands on held-out data using isotonic regression or Platt scaling.</w:t>
      </w:r>
    </w:p>
    <w:p>
      <w:pPr>
        <w:pStyle w:val="MdListItem"/>
        <w:numPr>
          <w:ilvl w:val="0"/>
          <w:numId w:val="2"/>
        </w:numPr>
      </w:pPr>
      <w:r>
        <w:t xml:space="preserve">Run the complete fairness and counterfactual suite before each release.</w:t>
      </w:r>
    </w:p>
    <w:p>
      <w:pPr>
        <w:pStyle w:val="MdSpace"/>
        <w:spacing w:before="0" w:after="60"/>
      </w:pPr>
    </w:p>
    <w:p>
      <w:pPr>
        <w:pStyle w:val="Heading2"/>
        <w:pStyle w:val="MdHeading2"/>
      </w:pPr>
      <w:r>
        <w:t xml:space="preserve">11. Evaluation and Acceptance Criteria</w:t>
      </w:r>
    </w:p>
    <w:p>
      <w:pPr>
        <w:pStyle w:val="Heading3"/>
        <w:pStyle w:val="MdHeading3"/>
      </w:pPr>
      <w:r>
        <w:t xml:space="preserve">11.1 Offline quality gates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Area</w:t>
            </w:r>
          </w:p>
        </w:tc>
        <w:tc>
          <w:tcPr>
            <w:tcMar>
              <w:top w:type="dxa" w:w="100"/>
              <w:left w:type="dxa" w:w="120"/>
              <w:bottom w:type="dxa" w:w="100"/>
              <w:right w:type="dxa" w:w="120"/>
            </w:tcMar>
            <w:vAlign w:val="center"/>
          </w:tcPr>
          <w:p>
            <w:pPr>
              <w:pStyle w:val="MdTableHeader"/>
            </w:pPr>
            <w:r>
              <w:t xml:space="preserve">Metric</w:t>
            </w:r>
          </w:p>
        </w:tc>
        <w:tc>
          <w:tcPr>
            <w:tcMar>
              <w:top w:type="dxa" w:w="100"/>
              <w:left w:type="dxa" w:w="120"/>
              <w:bottom w:type="dxa" w:w="100"/>
              <w:right w:type="dxa" w:w="120"/>
            </w:tcMar>
            <w:vAlign w:val="center"/>
          </w:tcPr>
          <w:p>
            <w:pPr>
              <w:pStyle w:val="MdTableHeader"/>
              <w:jc w:val="right"/>
            </w:pPr>
            <w:r>
              <w:t xml:space="preserve">MVP gate</w:t>
            </w:r>
          </w:p>
        </w:tc>
        <w:tc>
          <w:tcPr>
            <w:tcBorders>
              <w:right w:val="none"/>
            </w:tcBorders>
            <w:tcMar>
              <w:top w:type="dxa" w:w="100"/>
              <w:left w:type="dxa" w:w="120"/>
              <w:bottom w:type="dxa" w:w="100"/>
              <w:right w:type="dxa" w:w="120"/>
            </w:tcMar>
            <w:vAlign w:val="center"/>
          </w:tcPr>
          <w:p>
            <w:pPr>
              <w:pStyle w:val="MdTableHeader"/>
              <w:jc w:val="right"/>
            </w:pPr>
            <w:r>
              <w:t xml:space="preserve">V1 target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Parsing</w:t>
            </w:r>
          </w:p>
        </w:tc>
        <w:tc>
          <w:tcPr>
            <w:tcMar>
              <w:top w:type="dxa" w:w="80"/>
              <w:left w:type="dxa" w:w="120"/>
              <w:bottom w:type="dxa" w:w="80"/>
              <w:right w:type="dxa" w:w="120"/>
            </w:tcMar>
            <w:vAlign w:val="center"/>
          </w:tcPr>
          <w:p>
            <w:pPr>
              <w:pStyle w:val="MdTableCell"/>
            </w:pPr>
            <w:r>
              <w:t xml:space="preserve">Required-field exact/F1</w:t>
            </w:r>
          </w:p>
        </w:tc>
        <w:tc>
          <w:tcPr>
            <w:tcMar>
              <w:top w:type="dxa" w:w="80"/>
              <w:left w:type="dxa" w:w="120"/>
              <w:bottom w:type="dxa" w:w="80"/>
              <w:right w:type="dxa" w:w="120"/>
            </w:tcMar>
            <w:vAlign w:val="center"/>
          </w:tcPr>
          <w:p>
            <w:pPr>
              <w:pStyle w:val="MdTableCell"/>
              <w:jc w:val="right"/>
            </w:pPr>
            <w:r>
              <w:t xml:space="preserve">≥0.90 on contact and dates</w:t>
            </w:r>
          </w:p>
        </w:tc>
        <w:tc>
          <w:tcPr>
            <w:tcBorders>
              <w:right w:val="none"/>
            </w:tcBorders>
            <w:tcMar>
              <w:top w:type="dxa" w:w="80"/>
              <w:left w:type="dxa" w:w="120"/>
              <w:bottom w:type="dxa" w:w="80"/>
              <w:right w:type="dxa" w:w="120"/>
            </w:tcMar>
            <w:vAlign w:val="center"/>
          </w:tcPr>
          <w:p>
            <w:pPr>
              <w:pStyle w:val="MdTableCell"/>
              <w:jc w:val="right"/>
            </w:pPr>
            <w:r>
              <w:t xml:space="preserve">≥0.95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Skill extraction</w:t>
            </w:r>
          </w:p>
        </w:tc>
        <w:tc>
          <w:tcPr>
            <w:tcMar>
              <w:top w:type="dxa" w:w="80"/>
              <w:left w:type="dxa" w:w="120"/>
              <w:bottom w:type="dxa" w:w="80"/>
              <w:right w:type="dxa" w:w="120"/>
            </w:tcMar>
            <w:vAlign w:val="center"/>
          </w:tcPr>
          <w:p>
            <w:pPr>
              <w:pStyle w:val="MdTableCell"/>
            </w:pPr>
            <w:r>
              <w:t xml:space="preserve">Skill span F1</w:t>
            </w:r>
          </w:p>
        </w:tc>
        <w:tc>
          <w:tcPr>
            <w:tcMar>
              <w:top w:type="dxa" w:w="80"/>
              <w:left w:type="dxa" w:w="120"/>
              <w:bottom w:type="dxa" w:w="80"/>
              <w:right w:type="dxa" w:w="120"/>
            </w:tcMar>
            <w:vAlign w:val="center"/>
          </w:tcPr>
          <w:p>
            <w:pPr>
              <w:pStyle w:val="MdTableCell"/>
              <w:jc w:val="right"/>
            </w:pPr>
            <w:r>
              <w:t xml:space="preserve">≥0.70</w:t>
            </w:r>
          </w:p>
        </w:tc>
        <w:tc>
          <w:tcPr>
            <w:tcBorders>
              <w:right w:val="none"/>
            </w:tcBorders>
            <w:tcMar>
              <w:top w:type="dxa" w:w="80"/>
              <w:left w:type="dxa" w:w="120"/>
              <w:bottom w:type="dxa" w:w="80"/>
              <w:right w:type="dxa" w:w="120"/>
            </w:tcMar>
            <w:vAlign w:val="center"/>
          </w:tcPr>
          <w:p>
            <w:pPr>
              <w:pStyle w:val="MdTableCell"/>
              <w:jc w:val="right"/>
            </w:pPr>
            <w:r>
              <w:t xml:space="preserve">≥0.80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Taxonomy linking</w:t>
            </w:r>
          </w:p>
        </w:tc>
        <w:tc>
          <w:tcPr>
            <w:tcMar>
              <w:top w:type="dxa" w:w="80"/>
              <w:left w:type="dxa" w:w="120"/>
              <w:bottom w:type="dxa" w:w="80"/>
              <w:right w:type="dxa" w:w="120"/>
            </w:tcMar>
            <w:vAlign w:val="center"/>
          </w:tcPr>
          <w:p>
            <w:pPr>
              <w:pStyle w:val="MdTableCell"/>
            </w:pPr>
            <w:r>
              <w:t xml:space="preserve">Top-1 precision</w:t>
            </w:r>
          </w:p>
        </w:tc>
        <w:tc>
          <w:tcPr>
            <w:tcMar>
              <w:top w:type="dxa" w:w="80"/>
              <w:left w:type="dxa" w:w="120"/>
              <w:bottom w:type="dxa" w:w="80"/>
              <w:right w:type="dxa" w:w="120"/>
            </w:tcMar>
            <w:vAlign w:val="center"/>
          </w:tcPr>
          <w:p>
            <w:pPr>
              <w:pStyle w:val="MdTableCell"/>
              <w:jc w:val="right"/>
            </w:pPr>
            <w:r>
              <w:t xml:space="preserve">≥0.85</w:t>
            </w:r>
          </w:p>
        </w:tc>
        <w:tc>
          <w:tcPr>
            <w:tcBorders>
              <w:right w:val="none"/>
            </w:tcBorders>
            <w:tcMar>
              <w:top w:type="dxa" w:w="80"/>
              <w:left w:type="dxa" w:w="120"/>
              <w:bottom w:type="dxa" w:w="80"/>
              <w:right w:type="dxa" w:w="120"/>
            </w:tcMar>
            <w:vAlign w:val="center"/>
          </w:tcPr>
          <w:p>
            <w:pPr>
              <w:pStyle w:val="MdTableCell"/>
              <w:jc w:val="right"/>
            </w:pPr>
            <w:r>
              <w:t xml:space="preserve">≥0.92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Retrieval</w:t>
            </w:r>
          </w:p>
        </w:tc>
        <w:tc>
          <w:tcPr>
            <w:tcMar>
              <w:top w:type="dxa" w:w="80"/>
              <w:left w:type="dxa" w:w="120"/>
              <w:bottom w:type="dxa" w:w="80"/>
              <w:right w:type="dxa" w:w="120"/>
            </w:tcMar>
            <w:vAlign w:val="center"/>
          </w:tcPr>
          <w:p>
            <w:pPr>
              <w:pStyle w:val="MdTableCell"/>
            </w:pPr>
            <w:r>
              <w:t xml:space="preserve">Recall@100</w:t>
            </w:r>
          </w:p>
        </w:tc>
        <w:tc>
          <w:tcPr>
            <w:tcMar>
              <w:top w:type="dxa" w:w="80"/>
              <w:left w:type="dxa" w:w="120"/>
              <w:bottom w:type="dxa" w:w="80"/>
              <w:right w:type="dxa" w:w="120"/>
            </w:tcMar>
            <w:vAlign w:val="center"/>
          </w:tcPr>
          <w:p>
            <w:pPr>
              <w:pStyle w:val="MdTableCell"/>
              <w:jc w:val="right"/>
            </w:pPr>
            <w:r>
              <w:t xml:space="preserve">≥0.90</w:t>
            </w:r>
          </w:p>
        </w:tc>
        <w:tc>
          <w:tcPr>
            <w:tcBorders>
              <w:right w:val="none"/>
            </w:tcBorders>
            <w:tcMar>
              <w:top w:type="dxa" w:w="80"/>
              <w:left w:type="dxa" w:w="120"/>
              <w:bottom w:type="dxa" w:w="80"/>
              <w:right w:type="dxa" w:w="120"/>
            </w:tcMar>
            <w:vAlign w:val="center"/>
          </w:tcPr>
          <w:p>
            <w:pPr>
              <w:pStyle w:val="MdTableCell"/>
              <w:jc w:val="right"/>
            </w:pPr>
            <w:r>
              <w:t xml:space="preserve">≥0.95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Ranking</w:t>
            </w:r>
          </w:p>
        </w:tc>
        <w:tc>
          <w:tcPr>
            <w:tcMar>
              <w:top w:type="dxa" w:w="80"/>
              <w:left w:type="dxa" w:w="120"/>
              <w:bottom w:type="dxa" w:w="80"/>
              <w:right w:type="dxa" w:w="120"/>
            </w:tcMar>
            <w:vAlign w:val="center"/>
          </w:tcPr>
          <w:p>
            <w:pPr>
              <w:pStyle w:val="MdTableCell"/>
            </w:pPr>
            <w:r>
              <w:t xml:space="preserve">NDCG@10</w:t>
            </w:r>
          </w:p>
        </w:tc>
        <w:tc>
          <w:tcPr>
            <w:tcMar>
              <w:top w:type="dxa" w:w="80"/>
              <w:left w:type="dxa" w:w="120"/>
              <w:bottom w:type="dxa" w:w="80"/>
              <w:right w:type="dxa" w:w="120"/>
            </w:tcMar>
            <w:vAlign w:val="center"/>
          </w:tcPr>
          <w:p>
            <w:pPr>
              <w:pStyle w:val="MdTableCell"/>
              <w:jc w:val="right"/>
            </w:pPr>
            <w:r>
              <w:t xml:space="preserve">≥0.55</w:t>
            </w:r>
          </w:p>
        </w:tc>
        <w:tc>
          <w:tcPr>
            <w:tcBorders>
              <w:right w:val="none"/>
            </w:tcBorders>
            <w:tcMar>
              <w:top w:type="dxa" w:w="80"/>
              <w:left w:type="dxa" w:w="120"/>
              <w:bottom w:type="dxa" w:w="80"/>
              <w:right w:type="dxa" w:w="120"/>
            </w:tcMar>
            <w:vAlign w:val="center"/>
          </w:tcPr>
          <w:p>
            <w:pPr>
              <w:pStyle w:val="MdTableCell"/>
              <w:jc w:val="right"/>
            </w:pPr>
            <w:r>
              <w:t xml:space="preserve">≥0.65, per job family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 experience</w:t>
            </w:r>
          </w:p>
        </w:tc>
        <w:tc>
          <w:tcPr>
            <w:tcMar>
              <w:top w:type="dxa" w:w="80"/>
              <w:left w:type="dxa" w:w="120"/>
              <w:bottom w:type="dxa" w:w="80"/>
              <w:right w:type="dxa" w:w="120"/>
            </w:tcMar>
            <w:vAlign w:val="center"/>
          </w:tcPr>
          <w:p>
            <w:pPr>
              <w:pStyle w:val="MdTableCell"/>
            </w:pPr>
            <w:r>
              <w:t xml:space="preserve">Precision@10</w:t>
            </w:r>
          </w:p>
        </w:tc>
        <w:tc>
          <w:tcPr>
            <w:tcMar>
              <w:top w:type="dxa" w:w="80"/>
              <w:left w:type="dxa" w:w="120"/>
              <w:bottom w:type="dxa" w:w="80"/>
              <w:right w:type="dxa" w:w="120"/>
            </w:tcMar>
            <w:vAlign w:val="center"/>
          </w:tcPr>
          <w:p>
            <w:pPr>
              <w:pStyle w:val="MdTableCell"/>
              <w:jc w:val="right"/>
            </w:pPr>
            <w:r>
              <w:t xml:space="preserve">Establish baseline</w:t>
            </w:r>
          </w:p>
        </w:tc>
        <w:tc>
          <w:tcPr>
            <w:tcBorders>
              <w:right w:val="none"/>
            </w:tcBorders>
            <w:tcMar>
              <w:top w:type="dxa" w:w="80"/>
              <w:left w:type="dxa" w:w="120"/>
              <w:bottom w:type="dxa" w:w="80"/>
              <w:right w:type="dxa" w:w="120"/>
            </w:tcMar>
            <w:vAlign w:val="center"/>
          </w:tcPr>
          <w:p>
            <w:pPr>
              <w:pStyle w:val="MdTableCell"/>
              <w:jc w:val="right"/>
            </w:pPr>
            <w:r>
              <w:t xml:space="preserve">≥10% lift over baseline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Explanation faithfulness</w:t>
            </w:r>
          </w:p>
        </w:tc>
        <w:tc>
          <w:tcPr>
            <w:tcMar>
              <w:top w:type="dxa" w:w="80"/>
              <w:left w:type="dxa" w:w="120"/>
              <w:bottom w:type="dxa" w:w="80"/>
              <w:right w:type="dxa" w:w="120"/>
            </w:tcMar>
            <w:vAlign w:val="center"/>
          </w:tcPr>
          <w:p>
            <w:pPr>
              <w:pStyle w:val="MdTableCell"/>
            </w:pPr>
            <w:r>
              <w:t xml:space="preserve">Unsupported-claim rate</w:t>
            </w:r>
          </w:p>
        </w:tc>
        <w:tc>
          <w:tcPr>
            <w:tcMar>
              <w:top w:type="dxa" w:w="80"/>
              <w:left w:type="dxa" w:w="120"/>
              <w:bottom w:type="dxa" w:w="80"/>
              <w:right w:type="dxa" w:w="120"/>
            </w:tcMar>
            <w:vAlign w:val="center"/>
          </w:tcPr>
          <w:p>
            <w:pPr>
              <w:pStyle w:val="MdTableCell"/>
              <w:jc w:val="right"/>
            </w:pPr>
            <w:r>
              <w:t xml:space="preserve">0% hard failure</w:t>
            </w:r>
          </w:p>
        </w:tc>
        <w:tc>
          <w:tcPr>
            <w:tcBorders>
              <w:right w:val="none"/>
            </w:tcBorders>
            <w:tcMar>
              <w:top w:type="dxa" w:w="80"/>
              <w:left w:type="dxa" w:w="120"/>
              <w:bottom w:type="dxa" w:w="80"/>
              <w:right w:type="dxa" w:w="120"/>
            </w:tcMar>
            <w:vAlign w:val="center"/>
          </w:tcPr>
          <w:p>
            <w:pPr>
              <w:pStyle w:val="MdTableCell"/>
              <w:jc w:val="right"/>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Counterfactual</w:t>
            </w:r>
          </w:p>
        </w:tc>
        <w:tc>
          <w:tcPr>
            <w:tcMar>
              <w:top w:type="dxa" w:w="80"/>
              <w:left w:type="dxa" w:w="120"/>
              <w:bottom w:type="dxa" w:w="80"/>
              <w:right w:type="dxa" w:w="120"/>
            </w:tcMar>
            <w:vAlign w:val="center"/>
          </w:tcPr>
          <w:p>
            <w:pPr>
              <w:pStyle w:val="MdTableCell"/>
            </w:pPr>
            <w:r>
              <w:t xml:space="preserve">Mean score delta</w:t>
            </w:r>
          </w:p>
        </w:tc>
        <w:tc>
          <w:tcPr>
            <w:tcMar>
              <w:top w:type="dxa" w:w="80"/>
              <w:left w:type="dxa" w:w="120"/>
              <w:bottom w:type="dxa" w:w="80"/>
              <w:right w:type="dxa" w:w="120"/>
            </w:tcMar>
            <w:vAlign w:val="center"/>
          </w:tcPr>
          <w:p>
            <w:pPr>
              <w:pStyle w:val="MdTableCell"/>
              <w:jc w:val="right"/>
            </w:pPr>
            <w:r>
              <w:t xml:space="preserve">≤0.02 target</w:t>
            </w:r>
          </w:p>
        </w:tc>
        <w:tc>
          <w:tcPr>
            <w:tcBorders>
              <w:right w:val="none"/>
            </w:tcBorders>
            <w:tcMar>
              <w:top w:type="dxa" w:w="80"/>
              <w:left w:type="dxa" w:w="120"/>
              <w:bottom w:type="dxa" w:w="80"/>
              <w:right w:type="dxa" w:w="120"/>
            </w:tcMar>
            <w:vAlign w:val="center"/>
          </w:tcPr>
          <w:p>
            <w:pPr>
              <w:pStyle w:val="MdTableCell"/>
              <w:jc w:val="right"/>
            </w:pPr>
            <w:r>
              <w:t xml:space="preserve">≤0.01 target, with review</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Selection fairness</w:t>
            </w:r>
          </w:p>
        </w:tc>
        <w:tc>
          <w:tcPr>
            <w:tcBorders>
              <w:bottom w:val="single" w:color="E1E4E8" w:sz="4"/>
            </w:tcBorders>
            <w:tcMar>
              <w:top w:type="dxa" w:w="80"/>
              <w:left w:type="dxa" w:w="120"/>
              <w:bottom w:type="dxa" w:w="80"/>
              <w:right w:type="dxa" w:w="120"/>
            </w:tcMar>
            <w:vAlign w:val="center"/>
          </w:tcPr>
          <w:p>
            <w:pPr>
              <w:pStyle w:val="MdTableCell"/>
            </w:pPr>
            <w:r>
              <w:t xml:space="preserve">AIR at top-k</w:t>
            </w:r>
          </w:p>
        </w:tc>
        <w:tc>
          <w:tcPr>
            <w:tcBorders>
              <w:bottom w:val="single" w:color="E1E4E8" w:sz="4"/>
            </w:tcBorders>
            <w:tcMar>
              <w:top w:type="dxa" w:w="80"/>
              <w:left w:type="dxa" w:w="120"/>
              <w:bottom w:type="dxa" w:w="80"/>
              <w:right w:type="dxa" w:w="120"/>
            </w:tcMar>
            <w:vAlign w:val="center"/>
          </w:tcPr>
          <w:p>
            <w:pPr>
              <w:pStyle w:val="MdTableCell"/>
              <w:jc w:val="right"/>
            </w:pPr>
            <w:r>
              <w:t xml:space="preserve">No unexplained &lt;0.80</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No unexplained &lt;0.80</w:t>
            </w:r>
          </w:p>
        </w:tc>
      </w:tr>
    </w:tbl>
    <w:p>
      <w:pPr>
        <w:pStyle w:val="MdParagraph"/>
      </w:pPr>
      <w:r>
        <w:t xml:space="preserve">Metrics must be reported overall and by job family, language, document format, seniority, and any lawful audit cohorts. Averages may not conceal a failing intersectional subgroup.</w:t>
      </w:r>
    </w:p>
    <w:p>
      <w:pPr>
        <w:pStyle w:val="MdSpace"/>
        <w:spacing w:before="0" w:after="60"/>
      </w:pPr>
    </w:p>
    <w:p>
      <w:pPr>
        <w:pStyle w:val="Heading3"/>
        <w:pStyle w:val="MdHeading3"/>
      </w:pPr>
      <w:r>
        <w:t xml:space="preserve">11.2 Online evaluation</w:t>
      </w:r>
    </w:p>
    <w:p>
      <w:pPr>
        <w:pStyle w:val="MdParagraph"/>
      </w:pPr>
      <w:r>
        <w:t xml:space="preserve">Use a shadow deployment first. Compare the current ranker and candidate ranker using interleaving or randomized assignment where the customer approves it. Primary metrics are time to shortlist, recruiter acceptance rate, qualified-candidate recall, and shortlist diversity. Guardrails include parser error rate, override rate, appeal/correction rate, fairness metrics, latency, and incident rate. Automatically roll back a release if a protected subgroup shows a material unexplained regression, if unsupported explanations exceed zero, or if hard-constraint violations occur.</w:t>
      </w:r>
    </w:p>
    <w:p>
      <w:pPr>
        <w:pStyle w:val="MdSpace"/>
        <w:spacing w:before="0" w:after="60"/>
      </w:pPr>
    </w:p>
    <w:p>
      <w:pPr>
        <w:pStyle w:val="Heading3"/>
        <w:pStyle w:val="MdHeading3"/>
      </w:pPr>
      <w:r>
        <w:t xml:space="preserve">11.3 Reliability SLOs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SLO</w:t>
            </w:r>
          </w:p>
        </w:tc>
        <w:tc>
          <w:tcPr>
            <w:tcBorders>
              <w:right w:val="none"/>
            </w:tcBorders>
            <w:tcMar>
              <w:top w:type="dxa" w:w="100"/>
              <w:left w:type="dxa" w:w="120"/>
              <w:bottom w:type="dxa" w:w="100"/>
              <w:right w:type="dxa" w:w="120"/>
            </w:tcMar>
            <w:vAlign w:val="center"/>
          </w:tcPr>
          <w:p>
            <w:pPr>
              <w:pStyle w:val="MdTableHeader"/>
              <w:jc w:val="right"/>
            </w:pPr>
            <w:r>
              <w:t xml:space="preserve">MVP target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API availability</w:t>
            </w:r>
          </w:p>
        </w:tc>
        <w:tc>
          <w:tcPr>
            <w:tcBorders>
              <w:right w:val="none"/>
            </w:tcBorders>
            <w:tcMar>
              <w:top w:type="dxa" w:w="80"/>
              <w:left w:type="dxa" w:w="120"/>
              <w:bottom w:type="dxa" w:w="80"/>
              <w:right w:type="dxa" w:w="120"/>
            </w:tcMar>
            <w:vAlign w:val="center"/>
          </w:tcPr>
          <w:p>
            <w:pPr>
              <w:pStyle w:val="MdTableCell"/>
              <w:jc w:val="right"/>
            </w:pPr>
            <w:r>
              <w:t xml:space="preserve">99.5% monthly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Upload acknowledgement</w:t>
            </w:r>
          </w:p>
        </w:tc>
        <w:tc>
          <w:tcPr>
            <w:tcBorders>
              <w:right w:val="none"/>
            </w:tcBorders>
            <w:tcMar>
              <w:top w:type="dxa" w:w="80"/>
              <w:left w:type="dxa" w:w="120"/>
              <w:bottom w:type="dxa" w:w="80"/>
              <w:right w:type="dxa" w:w="120"/>
            </w:tcMar>
            <w:vAlign w:val="center"/>
          </w:tcPr>
          <w:p>
            <w:pPr>
              <w:pStyle w:val="MdTableCell"/>
              <w:jc w:val="right"/>
            </w:pPr>
            <w:r>
              <w:t xml:space="preserve">p95 &lt;2 seconds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Text-based parse completion</w:t>
            </w:r>
          </w:p>
        </w:tc>
        <w:tc>
          <w:tcPr>
            <w:tcBorders>
              <w:right w:val="none"/>
            </w:tcBorders>
            <w:tcMar>
              <w:top w:type="dxa" w:w="80"/>
              <w:left w:type="dxa" w:w="120"/>
              <w:bottom w:type="dxa" w:w="80"/>
              <w:right w:type="dxa" w:w="120"/>
            </w:tcMar>
            <w:vAlign w:val="center"/>
          </w:tcPr>
          <w:p>
            <w:pPr>
              <w:pStyle w:val="MdTableCell"/>
              <w:jc w:val="right"/>
            </w:pPr>
            <w:r>
              <w:t xml:space="preserve">p95 &lt;20 seconds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OCR parse completion</w:t>
            </w:r>
          </w:p>
        </w:tc>
        <w:tc>
          <w:tcPr>
            <w:tcBorders>
              <w:right w:val="none"/>
            </w:tcBorders>
            <w:tcMar>
              <w:top w:type="dxa" w:w="80"/>
              <w:left w:type="dxa" w:w="120"/>
              <w:bottom w:type="dxa" w:w="80"/>
              <w:right w:type="dxa" w:w="120"/>
            </w:tcMar>
            <w:vAlign w:val="center"/>
          </w:tcPr>
          <w:p>
            <w:pPr>
              <w:pStyle w:val="MdTableCell"/>
              <w:jc w:val="right"/>
            </w:pPr>
            <w:r>
              <w:t xml:space="preserve">p95 &lt;90 seconds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Search response without rerank</w:t>
            </w:r>
          </w:p>
        </w:tc>
        <w:tc>
          <w:tcPr>
            <w:tcBorders>
              <w:right w:val="none"/>
            </w:tcBorders>
            <w:tcMar>
              <w:top w:type="dxa" w:w="80"/>
              <w:left w:type="dxa" w:w="120"/>
              <w:bottom w:type="dxa" w:w="80"/>
              <w:right w:type="dxa" w:w="120"/>
            </w:tcMar>
            <w:vAlign w:val="center"/>
          </w:tcPr>
          <w:p>
            <w:pPr>
              <w:pStyle w:val="MdTableCell"/>
              <w:jc w:val="right"/>
            </w:pPr>
            <w:r>
              <w:t xml:space="preserve">p95 &lt;500 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Top-50 rerank response</w:t>
            </w:r>
          </w:p>
        </w:tc>
        <w:tc>
          <w:tcPr>
            <w:tcBorders>
              <w:right w:val="none"/>
            </w:tcBorders>
            <w:tcMar>
              <w:top w:type="dxa" w:w="80"/>
              <w:left w:type="dxa" w:w="120"/>
              <w:bottom w:type="dxa" w:w="80"/>
              <w:right w:type="dxa" w:w="120"/>
            </w:tcMar>
            <w:vAlign w:val="center"/>
          </w:tcPr>
          <w:p>
            <w:pPr>
              <w:pStyle w:val="MdTableCell"/>
              <w:jc w:val="right"/>
            </w:pPr>
            <w:r>
              <w:t xml:space="preserve">p95 &lt;2.5 seconds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Audit report generation</w:t>
            </w:r>
          </w:p>
        </w:tc>
        <w:tc>
          <w:tcPr>
            <w:tcBorders>
              <w:right w:val="none"/>
            </w:tcBorders>
            <w:tcMar>
              <w:top w:type="dxa" w:w="80"/>
              <w:left w:type="dxa" w:w="120"/>
              <w:bottom w:type="dxa" w:w="80"/>
              <w:right w:type="dxa" w:w="120"/>
            </w:tcMar>
            <w:vAlign w:val="center"/>
          </w:tcPr>
          <w:p>
            <w:pPr>
              <w:pStyle w:val="MdTableCell"/>
              <w:jc w:val="right"/>
            </w:pPr>
            <w:r>
              <w:t xml:space="preserve">&lt;5 minutes for 100k decisions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Duplicate processing rate</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&lt;0.1%</w:t>
            </w:r>
          </w:p>
        </w:tc>
      </w:tr>
    </w:tbl>
    <w:p>
      <w:pPr>
        <w:pStyle w:val="Heading2"/>
        <w:pStyle w:val="MdHeading2"/>
      </w:pPr>
      <w:r>
        <w:t xml:space="preserve">12. Privacy, Security, and Responsible AI Requirements</w:t>
      </w:r>
    </w:p>
    <w:p>
      <w:pPr>
        <w:pStyle w:val="MdParagraph"/>
      </w:pPr>
      <w:r>
        <w:t xml:space="preserve">The system shall encrypt data in transit and at rest, isolate tenants at the database and object-storage layers, apply least-privilege access, require MFA for privileged roles, rotate keys, scan uploads, and maintain a deletion workflow that covers derived vectors, caches, logs, backups, and audit exports. Raw resumes should not be used in application logs. Development environments must use synthetic or irreversibly de-identified data.</w:t>
      </w:r>
    </w:p>
    <w:p>
      <w:pPr>
        <w:pStyle w:val="MdSpace"/>
        <w:spacing w:before="0" w:after="60"/>
      </w:pPr>
    </w:p>
    <w:p>
      <w:pPr>
        <w:pStyle w:val="MdParagraph"/>
      </w:pPr>
      <w:r>
        <w:t xml:space="preserve">Data retention must be configurable per tenant and purpose. The system shall record lawful basis and notice status where required, support data-subject access and deletion workflows, and preserve only the minimum audit evidence needed after deletion. Model providers must be evaluated for data residency, retention, training use, subprocessors, and incident response. A private-inference tier should be available using self-hosted open models for customers with strict residency requirements.</w:t>
      </w:r>
    </w:p>
    <w:p>
      <w:pPr>
        <w:pStyle w:val="MdSpace"/>
        <w:spacing w:before="0" w:after="60"/>
      </w:pPr>
    </w:p>
    <w:p>
      <w:pPr>
        <w:pStyle w:val="MdParagraph"/>
      </w:pPr>
      <w:r>
        <w:t xml:space="preserve">Threat modeling must cover prompt injection inside resumes/JDs, malicious files, hidden white text and keyword stuffing, data exfiltration, cross-tenant retrieval, model inversion, embedding leakage, insecure exports, unauthorized cohort joins, and explanation manipulation. Resume text is untrusted data; no instructions in a resume or JD may alter system policy or execute tools.</w:t>
      </w:r>
    </w:p>
    <w:p>
      <w:pPr>
        <w:pStyle w:val="MdSpace"/>
        <w:spacing w:before="0" w:after="60"/>
      </w:pPr>
    </w:p>
    <w:p>
      <w:pPr>
        <w:pStyle w:val="Heading2"/>
        <w:pStyle w:val="MdHeading2"/>
      </w:pPr>
      <w:r>
        <w:t xml:space="preserve">13. Compliance-by-Design Deliverables</w:t>
      </w:r>
    </w:p>
    <w:p>
      <w:pPr>
        <w:pStyle w:val="MdParagraph"/>
      </w:pPr>
      <w:r>
        <w:t xml:space="preserve">The product team shall maintain a living model card, data sheet, risk register, technical file, model-release approval record, and incident log. For each release, store the model artifact hash, code commit, taxonomy version, training-data manifest, evaluation results, fairness results, known limitations, human-oversight controls, and rollback plan.</w:t>
      </w:r>
    </w:p>
    <w:p>
      <w:pPr>
        <w:pStyle w:val="MdSpace"/>
        <w:spacing w:before="0" w:after="60"/>
      </w:pPr>
    </w:p>
    <w:p>
      <w:pPr>
        <w:pStyle w:val="MdParagraph"/>
      </w:pPr>
      <w:r>
        <w:t xml:space="preserve">For customers operating in New York City, the system should support the data and reporting needed for an independent annual AEDT bias audit and candidate notice. For EU deployments, treat employment and candidate-screening use cases as high-risk until counsel determines otherwise, and design for automatic logging, human oversight, risk management, data governance, accuracy reporting, and post-market monitoring. The product must not imply that producing a dashboard itself makes the customer compliant.</w:t>
      </w:r>
      <w:hyperlink w:history="1" r:id="rIdbggphn0xnh40q7bzczsh8">
        <w:r>
          <w:rPr>
            <w:rStyle w:val="MdLink"/>
          </w:rPr>
          <w:t xml:space="preserve">6</w:t>
        </w:r>
      </w:hyperlink>
      <w:r>
        <w:t xml:space="preserve"> </w:t>
      </w:r>
      <w:hyperlink w:history="1" r:id="rIdodq_37m2mtfkby3b7xeyr">
        <w:r>
          <w:rPr>
            <w:rStyle w:val="MdLink"/>
          </w:rPr>
          <w:t xml:space="preserve">7</w:t>
        </w:r>
      </w:hyperlink>
    </w:p>
    <w:p>
      <w:pPr>
        <w:pStyle w:val="MdSpace"/>
        <w:spacing w:before="0" w:after="60"/>
      </w:pPr>
    </w:p>
    <w:p>
      <w:pPr>
        <w:pStyle w:val="Heading2"/>
        <w:pStyle w:val="MdHeading2"/>
      </w:pPr>
      <w:r>
        <w:t xml:space="preserve">14. Implementation Plan</w:t>
      </w:r>
    </w:p>
    <w:p>
      <w:pPr>
        <w:pStyle w:val="Heading3"/>
        <w:pStyle w:val="MdHeading3"/>
      </w:pPr>
      <w:r>
        <w:t xml:space="preserve">Phase 0 — Governance and discovery, weeks 1–2</w:t>
      </w:r>
    </w:p>
    <w:p>
      <w:pPr>
        <w:pStyle w:val="MdParagraph"/>
      </w:pPr>
      <w:r>
        <w:t xml:space="preserve">Confirm intended decisions, jurisdictions, customer data flows, protected-attribute sources, retention requirements, and whether the product is recommendation-only. Obtain legal review of the product boundary and parsing dependencies. Define the canonical schema, taxonomy license strategy, model registry conventions, incident severity levels, and success metrics. Deliverables are the signed scope, data-flow diagram, threat model draft, compliance matrix, and annotated sample corpus.</w:t>
      </w:r>
    </w:p>
    <w:p>
      <w:pPr>
        <w:pStyle w:val="MdSpace"/>
        <w:spacing w:before="0" w:after="60"/>
      </w:pPr>
    </w:p>
    <w:p>
      <w:pPr>
        <w:pStyle w:val="Heading3"/>
        <w:pStyle w:val="MdHeading3"/>
      </w:pPr>
      <w:r>
        <w:t xml:space="preserve">Phase 1 — Parsing and profile foundation, weeks 3–6</w:t>
      </w:r>
    </w:p>
    <w:p>
      <w:pPr>
        <w:pStyle w:val="MdParagraph"/>
      </w:pPr>
      <w:r>
        <w:t xml:space="preserve">Implement secure upload, MIME validation, object storage, asynchronous jobs, text/layout/OCR routing, DOCX parsing, section segmentation, source spans, and structured schemas. Build the reviewer UI for correction and confidence. Create the parsing gold set and baseline regression harness. Gate the phase on parser field quality, idempotency, deletion, and no cross-tenant access.</w:t>
      </w:r>
    </w:p>
    <w:p>
      <w:pPr>
        <w:pStyle w:val="MdSpace"/>
        <w:spacing w:before="0" w:after="60"/>
      </w:pPr>
    </w:p>
    <w:p>
      <w:pPr>
        <w:pStyle w:val="Heading3"/>
        <w:pStyle w:val="MdHeading3"/>
      </w:pPr>
      <w:r>
        <w:t xml:space="preserve">Phase 2 — Taxonomy and lexical matching, weeks 5–9</w:t>
      </w:r>
    </w:p>
    <w:p>
      <w:pPr>
        <w:pStyle w:val="MdParagraph"/>
      </w:pPr>
      <w:r>
        <w:t xml:space="preserve">Import ESCO, create canonical skill and occupation tables, implement aliases and crosswalks, add the emerging-skills review queue, and build spaCy/EntityRuler extraction. Add BM25F indexing and hard-constraint policies. Implement the initial score breakdown and explanations. Gate the phase on taxonomy-linking precision, hard-constraint correctness, and reproducible explanations.</w:t>
      </w:r>
    </w:p>
    <w:p>
      <w:pPr>
        <w:pStyle w:val="MdSpace"/>
        <w:spacing w:before="0" w:after="60"/>
      </w:pPr>
    </w:p>
    <w:p>
      <w:pPr>
        <w:pStyle w:val="Heading3"/>
        <w:pStyle w:val="MdHeading3"/>
      </w:pPr>
      <w:r>
        <w:t xml:space="preserve">Phase 3 — Dense retrieval and reranking, weeks 8–13</w:t>
      </w:r>
    </w:p>
    <w:p>
      <w:pPr>
        <w:pStyle w:val="MdParagraph"/>
      </w:pPr>
      <w:r>
        <w:t xml:space="preserve">Deploy the dense encoder, vector index, hybrid fusion, top-K reranking, cache, batching, and latency monitoring. Tune the baseline composite score on the gold set. Add calibrated relevance bands and model cards. Gate the phase on Recall@100, NDCG@10, p95 latency, and zero unsupported explanation claims.</w:t>
      </w:r>
    </w:p>
    <w:p>
      <w:pPr>
        <w:pStyle w:val="MdSpace"/>
        <w:spacing w:before="0" w:after="60"/>
      </w:pPr>
    </w:p>
    <w:p>
      <w:pPr>
        <w:pStyle w:val="Heading3"/>
        <w:pStyle w:val="MdHeading3"/>
      </w:pPr>
      <w:r>
        <w:t xml:space="preserve">Phase 4 — Bias module and human oversight, weeks 10–15</w:t>
      </w:r>
    </w:p>
    <w:p>
      <w:pPr>
        <w:pStyle w:val="MdParagraph"/>
      </w:pPr>
      <w:r>
        <w:t xml:space="preserve">Implement JD language auditing, PII redaction, counterfactual test generation, aggregate audit cohort intake, AIR and exposure metrics, fairness alerts, review workflows, immutable audit events, and report exports. Add model-release CI checks and a fairness dashboard. Gate the phase on reproducible counterfactual tests, sample-size warnings, audit-log completeness, and a successful tabletop incident exercise.</w:t>
      </w:r>
    </w:p>
    <w:p>
      <w:pPr>
        <w:pStyle w:val="MdSpace"/>
        <w:spacing w:before="0" w:after="60"/>
      </w:pPr>
    </w:p>
    <w:p>
      <w:pPr>
        <w:pStyle w:val="Heading3"/>
        <w:pStyle w:val="MdHeading3"/>
      </w:pPr>
      <w:r>
        <w:t xml:space="preserve">Phase 5 — Pilot and learning-to-rank readiness, weeks 14–20</w:t>
      </w:r>
    </w:p>
    <w:p>
      <w:pPr>
        <w:pStyle w:val="MdParagraph"/>
      </w:pPr>
      <w:r>
        <w:t xml:space="preserve">Run a shadow pilot with two or three design partners. Collect pairwise recruiter labels, corrections, overrides, and reason codes. Evaluate by job family and lawful audit slices. Do not train LambdaMART until label quality and bias review are approved. The MVP launch gate requires pilot success, security review, privacy review, runbooks, customer training, and rollback readiness.</w:t>
      </w:r>
    </w:p>
    <w:p>
      <w:pPr>
        <w:pStyle w:val="MdSpace"/>
        <w:spacing w:before="0" w:after="60"/>
      </w:pPr>
    </w:p>
    <w:p>
      <w:pPr>
        <w:pStyle w:val="Heading3"/>
        <w:pStyle w:val="MdHeading3"/>
      </w:pPr>
      <w:r>
        <w:t xml:space="preserve">Phase 6 — Production v1, weeks 21–36</w:t>
      </w:r>
    </w:p>
    <w:p>
      <w:pPr>
        <w:pStyle w:val="MdParagraph"/>
      </w:pPr>
      <w:r>
        <w:t xml:space="preserve">Fine-tune encoders and rerankers, add multilingual support if validated by customer demand, introduce role-family calibration, improve active learning, implement regional inference controls, harden reporting exports, and conduct an independent bias audit with a qualified provider where required. Add customer-facing model governance and quarterly review workflows.</w:t>
      </w:r>
    </w:p>
    <w:p>
      <w:pPr>
        <w:pStyle w:val="MdSpace"/>
        <w:spacing w:before="0" w:after="60"/>
      </w:pPr>
    </w:p>
    <w:p>
      <w:pPr>
        <w:pStyle w:val="Heading2"/>
        <w:pStyle w:val="MdHeading2"/>
      </w:pPr>
      <w:r>
        <w:t xml:space="preserve">15. Team and Ownership</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Workstream</w:t>
            </w:r>
          </w:p>
        </w:tc>
        <w:tc>
          <w:tcPr>
            <w:tcMar>
              <w:top w:type="dxa" w:w="100"/>
              <w:left w:type="dxa" w:w="120"/>
              <w:bottom w:type="dxa" w:w="100"/>
              <w:right w:type="dxa" w:w="120"/>
            </w:tcMar>
            <w:vAlign w:val="center"/>
          </w:tcPr>
          <w:p>
            <w:pPr>
              <w:pStyle w:val="MdTableHeader"/>
            </w:pPr>
            <w:r>
              <w:t xml:space="preserve">Primary owner</w:t>
            </w:r>
          </w:p>
        </w:tc>
        <w:tc>
          <w:tcPr>
            <w:tcBorders>
              <w:right w:val="none"/>
            </w:tcBorders>
            <w:tcMar>
              <w:top w:type="dxa" w:w="100"/>
              <w:left w:type="dxa" w:w="120"/>
              <w:bottom w:type="dxa" w:w="100"/>
              <w:right w:type="dxa" w:w="120"/>
            </w:tcMar>
            <w:vAlign w:val="center"/>
          </w:tcPr>
          <w:p>
            <w:pPr>
              <w:pStyle w:val="MdTableHeader"/>
            </w:pPr>
            <w:r>
              <w:t xml:space="preserve">Supporting roles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Product and workflow</w:t>
            </w:r>
          </w:p>
        </w:tc>
        <w:tc>
          <w:tcPr>
            <w:tcMar>
              <w:top w:type="dxa" w:w="80"/>
              <w:left w:type="dxa" w:w="120"/>
              <w:bottom w:type="dxa" w:w="80"/>
              <w:right w:type="dxa" w:w="120"/>
            </w:tcMar>
            <w:vAlign w:val="center"/>
          </w:tcPr>
          <w:p>
            <w:pPr>
              <w:pStyle w:val="MdTableCell"/>
            </w:pPr>
            <w:r>
              <w:t xml:space="preserve">Product manager</w:t>
            </w:r>
          </w:p>
        </w:tc>
        <w:tc>
          <w:tcPr>
            <w:tcBorders>
              <w:right w:val="none"/>
            </w:tcBorders>
            <w:tcMar>
              <w:top w:type="dxa" w:w="80"/>
              <w:left w:type="dxa" w:w="120"/>
              <w:bottom w:type="dxa" w:w="80"/>
              <w:right w:type="dxa" w:w="120"/>
            </w:tcMar>
            <w:vAlign w:val="center"/>
          </w:tcPr>
          <w:p>
            <w:pPr>
              <w:pStyle w:val="MdTableCell"/>
            </w:pPr>
            <w:r>
              <w:t xml:space="preserve">Recruiter design partners, UX researcher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Platform and APIs</w:t>
            </w:r>
          </w:p>
        </w:tc>
        <w:tc>
          <w:tcPr>
            <w:tcMar>
              <w:top w:type="dxa" w:w="80"/>
              <w:left w:type="dxa" w:w="120"/>
              <w:bottom w:type="dxa" w:w="80"/>
              <w:right w:type="dxa" w:w="120"/>
            </w:tcMar>
            <w:vAlign w:val="center"/>
          </w:tcPr>
          <w:p>
            <w:pPr>
              <w:pStyle w:val="MdTableCell"/>
            </w:pPr>
            <w:r>
              <w:t xml:space="preserve">Backend lead</w:t>
            </w:r>
          </w:p>
        </w:tc>
        <w:tc>
          <w:tcPr>
            <w:tcBorders>
              <w:right w:val="none"/>
            </w:tcBorders>
            <w:tcMar>
              <w:top w:type="dxa" w:w="80"/>
              <w:left w:type="dxa" w:w="120"/>
              <w:bottom w:type="dxa" w:w="80"/>
              <w:right w:type="dxa" w:w="120"/>
            </w:tcMar>
            <w:vAlign w:val="center"/>
          </w:tcPr>
          <w:p>
            <w:pPr>
              <w:pStyle w:val="MdTableCell"/>
            </w:pPr>
            <w:r>
              <w:t xml:space="preserve">Security, SRE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Parsing and NLP</w:t>
            </w:r>
          </w:p>
        </w:tc>
        <w:tc>
          <w:tcPr>
            <w:tcMar>
              <w:top w:type="dxa" w:w="80"/>
              <w:left w:type="dxa" w:w="120"/>
              <w:bottom w:type="dxa" w:w="80"/>
              <w:right w:type="dxa" w:w="120"/>
            </w:tcMar>
            <w:vAlign w:val="center"/>
          </w:tcPr>
          <w:p>
            <w:pPr>
              <w:pStyle w:val="MdTableCell"/>
            </w:pPr>
            <w:r>
              <w:t xml:space="preserve">NLP/ML lead</w:t>
            </w:r>
          </w:p>
        </w:tc>
        <w:tc>
          <w:tcPr>
            <w:tcBorders>
              <w:right w:val="none"/>
            </w:tcBorders>
            <w:tcMar>
              <w:top w:type="dxa" w:w="80"/>
              <w:left w:type="dxa" w:w="120"/>
              <w:bottom w:type="dxa" w:w="80"/>
              <w:right w:type="dxa" w:w="120"/>
            </w:tcMar>
            <w:vAlign w:val="center"/>
          </w:tcPr>
          <w:p>
            <w:pPr>
              <w:pStyle w:val="MdTableCell"/>
            </w:pPr>
            <w:r>
              <w:t xml:space="preserve">Data engineer, annotators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Retrieval and ranking</w:t>
            </w:r>
          </w:p>
        </w:tc>
        <w:tc>
          <w:tcPr>
            <w:tcMar>
              <w:top w:type="dxa" w:w="80"/>
              <w:left w:type="dxa" w:w="120"/>
              <w:bottom w:type="dxa" w:w="80"/>
              <w:right w:type="dxa" w:w="120"/>
            </w:tcMar>
            <w:vAlign w:val="center"/>
          </w:tcPr>
          <w:p>
            <w:pPr>
              <w:pStyle w:val="MdTableCell"/>
            </w:pPr>
            <w:r>
              <w:t xml:space="preserve">Search/ML engineer</w:t>
            </w:r>
          </w:p>
        </w:tc>
        <w:tc>
          <w:tcPr>
            <w:tcBorders>
              <w:right w:val="none"/>
            </w:tcBorders>
            <w:tcMar>
              <w:top w:type="dxa" w:w="80"/>
              <w:left w:type="dxa" w:w="120"/>
              <w:bottom w:type="dxa" w:w="80"/>
              <w:right w:type="dxa" w:w="120"/>
            </w:tcMar>
            <w:vAlign w:val="center"/>
          </w:tcPr>
          <w:p>
            <w:pPr>
              <w:pStyle w:val="MdTableCell"/>
            </w:pPr>
            <w:r>
              <w:t xml:space="preserve">Product analytics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Fairness and governance</w:t>
            </w:r>
          </w:p>
        </w:tc>
        <w:tc>
          <w:tcPr>
            <w:tcMar>
              <w:top w:type="dxa" w:w="80"/>
              <w:left w:type="dxa" w:w="120"/>
              <w:bottom w:type="dxa" w:w="80"/>
              <w:right w:type="dxa" w:w="120"/>
            </w:tcMar>
            <w:vAlign w:val="center"/>
          </w:tcPr>
          <w:p>
            <w:pPr>
              <w:pStyle w:val="MdTableCell"/>
            </w:pPr>
            <w:r>
              <w:t xml:space="preserve">Responsible-AI lead</w:t>
            </w:r>
          </w:p>
        </w:tc>
        <w:tc>
          <w:tcPr>
            <w:tcBorders>
              <w:right w:val="none"/>
            </w:tcBorders>
            <w:tcMar>
              <w:top w:type="dxa" w:w="80"/>
              <w:left w:type="dxa" w:w="120"/>
              <w:bottom w:type="dxa" w:w="80"/>
              <w:right w:type="dxa" w:w="120"/>
            </w:tcMar>
            <w:vAlign w:val="center"/>
          </w:tcPr>
          <w:p>
            <w:pPr>
              <w:pStyle w:val="MdTableCell"/>
            </w:pPr>
            <w:r>
              <w:t xml:space="preserve">Legal, privacy, HR domain expert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 operations</w:t>
            </w:r>
          </w:p>
        </w:tc>
        <w:tc>
          <w:tcPr>
            <w:tcMar>
              <w:top w:type="dxa" w:w="80"/>
              <w:left w:type="dxa" w:w="120"/>
              <w:bottom w:type="dxa" w:w="80"/>
              <w:right w:type="dxa" w:w="120"/>
            </w:tcMar>
            <w:vAlign w:val="center"/>
          </w:tcPr>
          <w:p>
            <w:pPr>
              <w:pStyle w:val="MdTableCell"/>
            </w:pPr>
            <w:r>
              <w:t xml:space="preserve">Data lead</w:t>
            </w:r>
          </w:p>
        </w:tc>
        <w:tc>
          <w:tcPr>
            <w:tcBorders>
              <w:right w:val="none"/>
            </w:tcBorders>
            <w:tcMar>
              <w:top w:type="dxa" w:w="80"/>
              <w:left w:type="dxa" w:w="120"/>
              <w:bottom w:type="dxa" w:w="80"/>
              <w:right w:type="dxa" w:w="120"/>
            </w:tcMar>
            <w:vAlign w:val="center"/>
          </w:tcPr>
          <w:p>
            <w:pPr>
              <w:pStyle w:val="MdTableCell"/>
            </w:pPr>
            <w:r>
              <w:t xml:space="preserve">Annotation vendor, QA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Frontend</w:t>
            </w:r>
          </w:p>
        </w:tc>
        <w:tc>
          <w:tcPr>
            <w:tcMar>
              <w:top w:type="dxa" w:w="80"/>
              <w:left w:type="dxa" w:w="120"/>
              <w:bottom w:type="dxa" w:w="80"/>
              <w:right w:type="dxa" w:w="120"/>
            </w:tcMar>
            <w:vAlign w:val="center"/>
          </w:tcPr>
          <w:p>
            <w:pPr>
              <w:pStyle w:val="MdTableCell"/>
            </w:pPr>
            <w:r>
              <w:t xml:space="preserve">Product engineer</w:t>
            </w:r>
          </w:p>
        </w:tc>
        <w:tc>
          <w:tcPr>
            <w:tcBorders>
              <w:right w:val="none"/>
            </w:tcBorders>
            <w:tcMar>
              <w:top w:type="dxa" w:w="80"/>
              <w:left w:type="dxa" w:w="120"/>
              <w:bottom w:type="dxa" w:w="80"/>
              <w:right w:type="dxa" w:w="120"/>
            </w:tcMar>
            <w:vAlign w:val="center"/>
          </w:tcPr>
          <w:p>
            <w:pPr>
              <w:pStyle w:val="MdTableCell"/>
            </w:pPr>
            <w:r>
              <w:t xml:space="preserve">Accessibility specialist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Security and compliance</w:t>
            </w:r>
          </w:p>
        </w:tc>
        <w:tc>
          <w:tcPr>
            <w:tcBorders>
              <w:bottom w:val="single" w:color="E1E4E8" w:sz="4"/>
            </w:tcBorders>
            <w:tcMar>
              <w:top w:type="dxa" w:w="80"/>
              <w:left w:type="dxa" w:w="120"/>
              <w:bottom w:type="dxa" w:w="80"/>
              <w:right w:type="dxa" w:w="120"/>
            </w:tcMar>
            <w:vAlign w:val="center"/>
          </w:tcPr>
          <w:p>
            <w:pPr>
              <w:pStyle w:val="MdTableCell"/>
            </w:pPr>
            <w:r>
              <w:t xml:space="preserve">Security lead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DPO/privacy counsel, external auditor</w:t>
            </w:r>
          </w:p>
        </w:tc>
      </w:tr>
    </w:tbl>
    <w:p>
      <w:pPr>
        <w:pStyle w:val="MdParagraph"/>
      </w:pPr>
      <w:r>
        <w:t xml:space="preserve">A realistic MVP team is one product manager, one designer, two frontend/backend engineers, two ML/search engineers, one data engineer, one responsible-AI/privacy lead, and part-time legal and security support. The product should budget for independent legal review and an external audit rather than treating compliance as a documentation-only task.</w:t>
      </w:r>
    </w:p>
    <w:p>
      <w:pPr>
        <w:pStyle w:val="MdSpace"/>
        <w:spacing w:before="0" w:after="60"/>
      </w:pPr>
    </w:p>
    <w:p>
      <w:pPr>
        <w:pStyle w:val="Heading2"/>
        <w:pStyle w:val="MdHeading2"/>
      </w:pPr>
      <w:r>
        <w:t xml:space="preserve">16. Risk Register and Mitigations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Risk</w:t>
            </w:r>
          </w:p>
        </w:tc>
        <w:tc>
          <w:tcPr>
            <w:tcMar>
              <w:top w:type="dxa" w:w="100"/>
              <w:left w:type="dxa" w:w="120"/>
              <w:bottom w:type="dxa" w:w="100"/>
              <w:right w:type="dxa" w:w="120"/>
            </w:tcMar>
            <w:vAlign w:val="center"/>
          </w:tcPr>
          <w:p>
            <w:pPr>
              <w:pStyle w:val="MdTableHeader"/>
            </w:pPr>
            <w:r>
              <w:t xml:space="preserve">Impact</w:t>
            </w:r>
          </w:p>
        </w:tc>
        <w:tc>
          <w:tcPr>
            <w:tcMar>
              <w:top w:type="dxa" w:w="100"/>
              <w:left w:type="dxa" w:w="120"/>
              <w:bottom w:type="dxa" w:w="100"/>
              <w:right w:type="dxa" w:w="120"/>
            </w:tcMar>
            <w:vAlign w:val="center"/>
          </w:tcPr>
          <w:p>
            <w:pPr>
              <w:pStyle w:val="MdTableHeader"/>
              <w:jc w:val="right"/>
            </w:pPr>
            <w:r>
              <w:t xml:space="preserve">Likelihood</w:t>
            </w:r>
          </w:p>
        </w:tc>
        <w:tc>
          <w:tcPr>
            <w:tcMar>
              <w:top w:type="dxa" w:w="100"/>
              <w:left w:type="dxa" w:w="120"/>
              <w:bottom w:type="dxa" w:w="100"/>
              <w:right w:type="dxa" w:w="120"/>
            </w:tcMar>
            <w:vAlign w:val="center"/>
          </w:tcPr>
          <w:p>
            <w:pPr>
              <w:pStyle w:val="MdTableHeader"/>
            </w:pPr>
            <w:r>
              <w:t xml:space="preserve">Mitigation</w:t>
            </w:r>
          </w:p>
        </w:tc>
        <w:tc>
          <w:tcPr>
            <w:tcBorders>
              <w:right w:val="none"/>
            </w:tcBorders>
            <w:tcMar>
              <w:top w:type="dxa" w:w="100"/>
              <w:left w:type="dxa" w:w="120"/>
              <w:bottom w:type="dxa" w:w="100"/>
              <w:right w:type="dxa" w:w="120"/>
            </w:tcMar>
            <w:vAlign w:val="center"/>
          </w:tcPr>
          <w:p>
            <w:pPr>
              <w:pStyle w:val="MdTableHeader"/>
            </w:pPr>
            <w:r>
              <w:t xml:space="preserve">Owner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Historical labels encode bias</w:t>
            </w:r>
          </w:p>
        </w:tc>
        <w:tc>
          <w:tcPr>
            <w:tcMar>
              <w:top w:type="dxa" w:w="80"/>
              <w:left w:type="dxa" w:w="120"/>
              <w:bottom w:type="dxa" w:w="80"/>
              <w:right w:type="dxa" w:w="120"/>
            </w:tcMar>
            <w:vAlign w:val="center"/>
          </w:tcPr>
          <w:p>
            <w:pPr>
              <w:pStyle w:val="MdTableCell"/>
            </w:pPr>
            <w:r>
              <w:t xml:space="preserve">High</w:t>
            </w:r>
          </w:p>
        </w:tc>
        <w:tc>
          <w:tcPr>
            <w:tcMar>
              <w:top w:type="dxa" w:w="80"/>
              <w:left w:type="dxa" w:w="120"/>
              <w:bottom w:type="dxa" w:w="80"/>
              <w:right w:type="dxa" w:w="120"/>
            </w:tcMar>
            <w:vAlign w:val="center"/>
          </w:tcPr>
          <w:p>
            <w:pPr>
              <w:pStyle w:val="MdTableCell"/>
              <w:jc w:val="right"/>
            </w:pPr>
            <w:r>
              <w:t xml:space="preserve">High</w:t>
            </w:r>
          </w:p>
        </w:tc>
        <w:tc>
          <w:tcPr>
            <w:tcMar>
              <w:top w:type="dxa" w:w="80"/>
              <w:left w:type="dxa" w:w="120"/>
              <w:bottom w:type="dxa" w:w="80"/>
              <w:right w:type="dxa" w:w="120"/>
            </w:tcMar>
            <w:vAlign w:val="center"/>
          </w:tcPr>
          <w:p>
            <w:pPr>
              <w:pStyle w:val="MdTableCell"/>
            </w:pPr>
            <w:r>
              <w:t xml:space="preserve">Pairwise gold labels, slice audits, counterfactual testing, do not train blindly on hires</w:t>
            </w:r>
          </w:p>
        </w:tc>
        <w:tc>
          <w:tcPr>
            <w:tcBorders>
              <w:right w:val="none"/>
            </w:tcBorders>
            <w:tcMar>
              <w:top w:type="dxa" w:w="80"/>
              <w:left w:type="dxa" w:w="120"/>
              <w:bottom w:type="dxa" w:w="80"/>
              <w:right w:type="dxa" w:w="120"/>
            </w:tcMar>
            <w:vAlign w:val="center"/>
          </w:tcPr>
          <w:p>
            <w:pPr>
              <w:pStyle w:val="MdTableCell"/>
            </w:pPr>
            <w:r>
              <w:t xml:space="preserve">ML lead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LLM hallucinated facts</w:t>
            </w:r>
          </w:p>
        </w:tc>
        <w:tc>
          <w:tcPr>
            <w:tcMar>
              <w:top w:type="dxa" w:w="80"/>
              <w:left w:type="dxa" w:w="120"/>
              <w:bottom w:type="dxa" w:w="80"/>
              <w:right w:type="dxa" w:w="120"/>
            </w:tcMar>
            <w:vAlign w:val="center"/>
          </w:tcPr>
          <w:p>
            <w:pPr>
              <w:pStyle w:val="MdTableCell"/>
            </w:pPr>
            <w:r>
              <w:t xml:space="preserve">High</w:t>
            </w:r>
          </w:p>
        </w:tc>
        <w:tc>
          <w:tcPr>
            <w:tcMar>
              <w:top w:type="dxa" w:w="80"/>
              <w:left w:type="dxa" w:w="120"/>
              <w:bottom w:type="dxa" w:w="80"/>
              <w:right w:type="dxa" w:w="120"/>
            </w:tcMar>
            <w:vAlign w:val="center"/>
          </w:tcPr>
          <w:p>
            <w:pPr>
              <w:pStyle w:val="MdTableCell"/>
              <w:jc w:val="right"/>
            </w:pPr>
            <w:r>
              <w:t xml:space="preserve">Medium</w:t>
            </w:r>
          </w:p>
        </w:tc>
        <w:tc>
          <w:tcPr>
            <w:tcMar>
              <w:top w:type="dxa" w:w="80"/>
              <w:left w:type="dxa" w:w="120"/>
              <w:bottom w:type="dxa" w:w="80"/>
              <w:right w:type="dxa" w:w="120"/>
            </w:tcMar>
            <w:vAlign w:val="center"/>
          </w:tcPr>
          <w:p>
            <w:pPr>
              <w:pStyle w:val="MdTableCell"/>
            </w:pPr>
            <w:r>
              <w:t xml:space="preserve">Strict schemas, source-span verification, temperature 0, cached/versioned outputs</w:t>
            </w:r>
          </w:p>
        </w:tc>
        <w:tc>
          <w:tcPr>
            <w:tcBorders>
              <w:right w:val="none"/>
            </w:tcBorders>
            <w:tcMar>
              <w:top w:type="dxa" w:w="80"/>
              <w:left w:type="dxa" w:w="120"/>
              <w:bottom w:type="dxa" w:w="80"/>
              <w:right w:type="dxa" w:w="120"/>
            </w:tcMar>
            <w:vAlign w:val="center"/>
          </w:tcPr>
          <w:p>
            <w:pPr>
              <w:pStyle w:val="MdTableCell"/>
            </w:pPr>
            <w:r>
              <w:t xml:space="preserve">NLP lead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Taxonomy gaps and drift</w:t>
            </w:r>
          </w:p>
        </w:tc>
        <w:tc>
          <w:tcPr>
            <w:tcMar>
              <w:top w:type="dxa" w:w="80"/>
              <w:left w:type="dxa" w:w="120"/>
              <w:bottom w:type="dxa" w:w="80"/>
              <w:right w:type="dxa" w:w="120"/>
            </w:tcMar>
            <w:vAlign w:val="center"/>
          </w:tcPr>
          <w:p>
            <w:pPr>
              <w:pStyle w:val="MdTableCell"/>
            </w:pPr>
            <w:r>
              <w:t xml:space="preserve">Medium</w:t>
            </w:r>
          </w:p>
        </w:tc>
        <w:tc>
          <w:tcPr>
            <w:tcMar>
              <w:top w:type="dxa" w:w="80"/>
              <w:left w:type="dxa" w:w="120"/>
              <w:bottom w:type="dxa" w:w="80"/>
              <w:right w:type="dxa" w:w="120"/>
            </w:tcMar>
            <w:vAlign w:val="center"/>
          </w:tcPr>
          <w:p>
            <w:pPr>
              <w:pStyle w:val="MdTableCell"/>
              <w:jc w:val="right"/>
            </w:pPr>
            <w:r>
              <w:t xml:space="preserve">High</w:t>
            </w:r>
          </w:p>
        </w:tc>
        <w:tc>
          <w:tcPr>
            <w:tcMar>
              <w:top w:type="dxa" w:w="80"/>
              <w:left w:type="dxa" w:w="120"/>
              <w:bottom w:type="dxa" w:w="80"/>
              <w:right w:type="dxa" w:w="120"/>
            </w:tcMar>
            <w:vAlign w:val="center"/>
          </w:tcPr>
          <w:p>
            <w:pPr>
              <w:pStyle w:val="MdTableCell"/>
            </w:pPr>
            <w:r>
              <w:t xml:space="preserve">Emerging-skills queue, quarterly curation, explicit unknown status</w:t>
            </w:r>
          </w:p>
        </w:tc>
        <w:tc>
          <w:tcPr>
            <w:tcBorders>
              <w:right w:val="none"/>
            </w:tcBorders>
            <w:tcMar>
              <w:top w:type="dxa" w:w="80"/>
              <w:left w:type="dxa" w:w="120"/>
              <w:bottom w:type="dxa" w:w="80"/>
              <w:right w:type="dxa" w:w="120"/>
            </w:tcMar>
            <w:vAlign w:val="center"/>
          </w:tcPr>
          <w:p>
            <w:pPr>
              <w:pStyle w:val="MdTableCell"/>
            </w:pPr>
            <w:r>
              <w:t xml:space="preserve">Taxonomy owner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PII or sensitive-attribute leakage</w:t>
            </w:r>
          </w:p>
        </w:tc>
        <w:tc>
          <w:tcPr>
            <w:tcMar>
              <w:top w:type="dxa" w:w="80"/>
              <w:left w:type="dxa" w:w="120"/>
              <w:bottom w:type="dxa" w:w="80"/>
              <w:right w:type="dxa" w:w="120"/>
            </w:tcMar>
            <w:vAlign w:val="center"/>
          </w:tcPr>
          <w:p>
            <w:pPr>
              <w:pStyle w:val="MdTableCell"/>
            </w:pPr>
            <w:r>
              <w:t xml:space="preserve">High</w:t>
            </w:r>
          </w:p>
        </w:tc>
        <w:tc>
          <w:tcPr>
            <w:tcMar>
              <w:top w:type="dxa" w:w="80"/>
              <w:left w:type="dxa" w:w="120"/>
              <w:bottom w:type="dxa" w:w="80"/>
              <w:right w:type="dxa" w:w="120"/>
            </w:tcMar>
            <w:vAlign w:val="center"/>
          </w:tcPr>
          <w:p>
            <w:pPr>
              <w:pStyle w:val="MdTableCell"/>
              <w:jc w:val="right"/>
            </w:pPr>
            <w:r>
              <w:t xml:space="preserve">Medium</w:t>
            </w:r>
          </w:p>
        </w:tc>
        <w:tc>
          <w:tcPr>
            <w:tcMar>
              <w:top w:type="dxa" w:w="80"/>
              <w:left w:type="dxa" w:w="120"/>
              <w:bottom w:type="dxa" w:w="80"/>
              <w:right w:type="dxa" w:w="120"/>
            </w:tcMar>
            <w:vAlign w:val="center"/>
          </w:tcPr>
          <w:p>
            <w:pPr>
              <w:pStyle w:val="MdTableCell"/>
            </w:pPr>
            <w:r>
              <w:t xml:space="preserve">Redaction, separate stores, private inference, retention/deletion tests</w:t>
            </w:r>
          </w:p>
        </w:tc>
        <w:tc>
          <w:tcPr>
            <w:tcBorders>
              <w:right w:val="none"/>
            </w:tcBorders>
            <w:tcMar>
              <w:top w:type="dxa" w:w="80"/>
              <w:left w:type="dxa" w:w="120"/>
              <w:bottom w:type="dxa" w:w="80"/>
              <w:right w:type="dxa" w:w="120"/>
            </w:tcMar>
            <w:vAlign w:val="center"/>
          </w:tcPr>
          <w:p>
            <w:pPr>
              <w:pStyle w:val="MdTableCell"/>
            </w:pPr>
            <w:r>
              <w:t xml:space="preserve">Security lead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False fairness alarms</w:t>
            </w:r>
          </w:p>
        </w:tc>
        <w:tc>
          <w:tcPr>
            <w:tcMar>
              <w:top w:type="dxa" w:w="80"/>
              <w:left w:type="dxa" w:w="120"/>
              <w:bottom w:type="dxa" w:w="80"/>
              <w:right w:type="dxa" w:w="120"/>
            </w:tcMar>
            <w:vAlign w:val="center"/>
          </w:tcPr>
          <w:p>
            <w:pPr>
              <w:pStyle w:val="MdTableCell"/>
            </w:pPr>
            <w:r>
              <w:t xml:space="preserve">Medium</w:t>
            </w:r>
          </w:p>
        </w:tc>
        <w:tc>
          <w:tcPr>
            <w:tcMar>
              <w:top w:type="dxa" w:w="80"/>
              <w:left w:type="dxa" w:w="120"/>
              <w:bottom w:type="dxa" w:w="80"/>
              <w:right w:type="dxa" w:w="120"/>
            </w:tcMar>
            <w:vAlign w:val="center"/>
          </w:tcPr>
          <w:p>
            <w:pPr>
              <w:pStyle w:val="MdTableCell"/>
              <w:jc w:val="right"/>
            </w:pPr>
            <w:r>
              <w:t xml:space="preserve">Medium</w:t>
            </w:r>
          </w:p>
        </w:tc>
        <w:tc>
          <w:tcPr>
            <w:tcMar>
              <w:top w:type="dxa" w:w="80"/>
              <w:left w:type="dxa" w:w="120"/>
              <w:bottom w:type="dxa" w:w="80"/>
              <w:right w:type="dxa" w:w="120"/>
            </w:tcMar>
            <w:vAlign w:val="center"/>
          </w:tcPr>
          <w:p>
            <w:pPr>
              <w:pStyle w:val="MdTableCell"/>
            </w:pPr>
            <w:r>
              <w:t xml:space="preserve">Confidence intervals, minimum sample sizes, reviewer feedback, jurisdiction-specific policies</w:t>
            </w:r>
          </w:p>
        </w:tc>
        <w:tc>
          <w:tcPr>
            <w:tcBorders>
              <w:right w:val="none"/>
            </w:tcBorders>
            <w:tcMar>
              <w:top w:type="dxa" w:w="80"/>
              <w:left w:type="dxa" w:w="120"/>
              <w:bottom w:type="dxa" w:w="80"/>
              <w:right w:type="dxa" w:w="120"/>
            </w:tcMar>
            <w:vAlign w:val="center"/>
          </w:tcPr>
          <w:p>
            <w:pPr>
              <w:pStyle w:val="MdTableCell"/>
            </w:pPr>
            <w:r>
              <w:t xml:space="preserve">Responsible-AI lead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Semantic score is not explainable</w:t>
            </w:r>
          </w:p>
        </w:tc>
        <w:tc>
          <w:tcPr>
            <w:tcMar>
              <w:top w:type="dxa" w:w="80"/>
              <w:left w:type="dxa" w:w="120"/>
              <w:bottom w:type="dxa" w:w="80"/>
              <w:right w:type="dxa" w:w="120"/>
            </w:tcMar>
            <w:vAlign w:val="center"/>
          </w:tcPr>
          <w:p>
            <w:pPr>
              <w:pStyle w:val="MdTableCell"/>
            </w:pPr>
            <w:r>
              <w:t xml:space="preserve">High</w:t>
            </w:r>
          </w:p>
        </w:tc>
        <w:tc>
          <w:tcPr>
            <w:tcMar>
              <w:top w:type="dxa" w:w="80"/>
              <w:left w:type="dxa" w:w="120"/>
              <w:bottom w:type="dxa" w:w="80"/>
              <w:right w:type="dxa" w:w="120"/>
            </w:tcMar>
            <w:vAlign w:val="center"/>
          </w:tcPr>
          <w:p>
            <w:pPr>
              <w:pStyle w:val="MdTableCell"/>
              <w:jc w:val="right"/>
            </w:pPr>
            <w:r>
              <w:t xml:space="preserve">Medium</w:t>
            </w:r>
          </w:p>
        </w:tc>
        <w:tc>
          <w:tcPr>
            <w:tcMar>
              <w:top w:type="dxa" w:w="80"/>
              <w:left w:type="dxa" w:w="120"/>
              <w:bottom w:type="dxa" w:w="80"/>
              <w:right w:type="dxa" w:w="120"/>
            </w:tcMar>
            <w:vAlign w:val="center"/>
          </w:tcPr>
          <w:p>
            <w:pPr>
              <w:pStyle w:val="MdTableCell"/>
            </w:pPr>
            <w:r>
              <w:t xml:space="preserve">Skill-anchored blend, feature-level rationale, reranker as limited tiebreaker</w:t>
            </w:r>
          </w:p>
        </w:tc>
        <w:tc>
          <w:tcPr>
            <w:tcBorders>
              <w:right w:val="none"/>
            </w:tcBorders>
            <w:tcMar>
              <w:top w:type="dxa" w:w="80"/>
              <w:left w:type="dxa" w:w="120"/>
              <w:bottom w:type="dxa" w:w="80"/>
              <w:right w:type="dxa" w:w="120"/>
            </w:tcMar>
            <w:vAlign w:val="center"/>
          </w:tcPr>
          <w:p>
            <w:pPr>
              <w:pStyle w:val="MdTableCell"/>
            </w:pPr>
            <w:r>
              <w:t xml:space="preserve">Product/ML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Parser licensing conflict</w:t>
            </w:r>
          </w:p>
        </w:tc>
        <w:tc>
          <w:tcPr>
            <w:tcMar>
              <w:top w:type="dxa" w:w="80"/>
              <w:left w:type="dxa" w:w="120"/>
              <w:bottom w:type="dxa" w:w="80"/>
              <w:right w:type="dxa" w:w="120"/>
            </w:tcMar>
            <w:vAlign w:val="center"/>
          </w:tcPr>
          <w:p>
            <w:pPr>
              <w:pStyle w:val="MdTableCell"/>
            </w:pPr>
            <w:r>
              <w:t xml:space="preserve">High</w:t>
            </w:r>
          </w:p>
        </w:tc>
        <w:tc>
          <w:tcPr>
            <w:tcMar>
              <w:top w:type="dxa" w:w="80"/>
              <w:left w:type="dxa" w:w="120"/>
              <w:bottom w:type="dxa" w:w="80"/>
              <w:right w:type="dxa" w:w="120"/>
            </w:tcMar>
            <w:vAlign w:val="center"/>
          </w:tcPr>
          <w:p>
            <w:pPr>
              <w:pStyle w:val="MdTableCell"/>
              <w:jc w:val="right"/>
            </w:pPr>
            <w:r>
              <w:t xml:space="preserve">Medium</w:t>
            </w:r>
          </w:p>
        </w:tc>
        <w:tc>
          <w:tcPr>
            <w:tcMar>
              <w:top w:type="dxa" w:w="80"/>
              <w:left w:type="dxa" w:w="120"/>
              <w:bottom w:type="dxa" w:w="80"/>
              <w:right w:type="dxa" w:w="120"/>
            </w:tcMar>
            <w:vAlign w:val="center"/>
          </w:tcPr>
          <w:p>
            <w:pPr>
              <w:pStyle w:val="MdTableCell"/>
            </w:pPr>
            <w:r>
              <w:t xml:space="preserve">Legal review, commercial license or alternative stack before launch</w:t>
            </w:r>
          </w:p>
        </w:tc>
        <w:tc>
          <w:tcPr>
            <w:tcBorders>
              <w:right w:val="none"/>
            </w:tcBorders>
            <w:tcMar>
              <w:top w:type="dxa" w:w="80"/>
              <w:left w:type="dxa" w:w="120"/>
              <w:bottom w:type="dxa" w:w="80"/>
              <w:right w:type="dxa" w:w="120"/>
            </w:tcMar>
            <w:vAlign w:val="center"/>
          </w:tcPr>
          <w:p>
            <w:pPr>
              <w:pStyle w:val="MdTableCell"/>
            </w:pPr>
            <w:r>
              <w:t xml:space="preserve">Engineering/legal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Keyword stuffing or adversarial resumes</w:t>
            </w:r>
          </w:p>
        </w:tc>
        <w:tc>
          <w:tcPr>
            <w:tcMar>
              <w:top w:type="dxa" w:w="80"/>
              <w:left w:type="dxa" w:w="120"/>
              <w:bottom w:type="dxa" w:w="80"/>
              <w:right w:type="dxa" w:w="120"/>
            </w:tcMar>
            <w:vAlign w:val="center"/>
          </w:tcPr>
          <w:p>
            <w:pPr>
              <w:pStyle w:val="MdTableCell"/>
            </w:pPr>
            <w:r>
              <w:t xml:space="preserve">Medium</w:t>
            </w:r>
          </w:p>
        </w:tc>
        <w:tc>
          <w:tcPr>
            <w:tcMar>
              <w:top w:type="dxa" w:w="80"/>
              <w:left w:type="dxa" w:w="120"/>
              <w:bottom w:type="dxa" w:w="80"/>
              <w:right w:type="dxa" w:w="120"/>
            </w:tcMar>
            <w:vAlign w:val="center"/>
          </w:tcPr>
          <w:p>
            <w:pPr>
              <w:pStyle w:val="MdTableCell"/>
              <w:jc w:val="right"/>
            </w:pPr>
            <w:r>
              <w:t xml:space="preserve">Medium</w:t>
            </w:r>
          </w:p>
        </w:tc>
        <w:tc>
          <w:tcPr>
            <w:tcMar>
              <w:top w:type="dxa" w:w="80"/>
              <w:left w:type="dxa" w:w="120"/>
              <w:bottom w:type="dxa" w:w="80"/>
              <w:right w:type="dxa" w:w="120"/>
            </w:tcMar>
            <w:vAlign w:val="center"/>
          </w:tcPr>
          <w:p>
            <w:pPr>
              <w:pStyle w:val="MdTableCell"/>
            </w:pPr>
            <w:r>
              <w:t xml:space="preserve">Hidden-text detection, density outliers, reviewer flag, no automatic rejection</w:t>
            </w:r>
          </w:p>
        </w:tc>
        <w:tc>
          <w:tcPr>
            <w:tcBorders>
              <w:right w:val="none"/>
            </w:tcBorders>
            <w:tcMar>
              <w:top w:type="dxa" w:w="80"/>
              <w:left w:type="dxa" w:w="120"/>
              <w:bottom w:type="dxa" w:w="80"/>
              <w:right w:type="dxa" w:w="120"/>
            </w:tcMar>
            <w:vAlign w:val="center"/>
          </w:tcPr>
          <w:p>
            <w:pPr>
              <w:pStyle w:val="MdTableCell"/>
            </w:pPr>
            <w:r>
              <w:t xml:space="preserve">Platform lead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Cross-tenant vector leakage</w:t>
            </w:r>
          </w:p>
        </w:tc>
        <w:tc>
          <w:tcPr>
            <w:tcMar>
              <w:top w:type="dxa" w:w="80"/>
              <w:left w:type="dxa" w:w="120"/>
              <w:bottom w:type="dxa" w:w="80"/>
              <w:right w:type="dxa" w:w="120"/>
            </w:tcMar>
            <w:vAlign w:val="center"/>
          </w:tcPr>
          <w:p>
            <w:pPr>
              <w:pStyle w:val="MdTableCell"/>
            </w:pPr>
            <w:r>
              <w:t xml:space="preserve">Critical</w:t>
            </w:r>
          </w:p>
        </w:tc>
        <w:tc>
          <w:tcPr>
            <w:tcMar>
              <w:top w:type="dxa" w:w="80"/>
              <w:left w:type="dxa" w:w="120"/>
              <w:bottom w:type="dxa" w:w="80"/>
              <w:right w:type="dxa" w:w="120"/>
            </w:tcMar>
            <w:vAlign w:val="center"/>
          </w:tcPr>
          <w:p>
            <w:pPr>
              <w:pStyle w:val="MdTableCell"/>
              <w:jc w:val="right"/>
            </w:pPr>
            <w:r>
              <w:t xml:space="preserve">Low</w:t>
            </w:r>
          </w:p>
        </w:tc>
        <w:tc>
          <w:tcPr>
            <w:tcMar>
              <w:top w:type="dxa" w:w="80"/>
              <w:left w:type="dxa" w:w="120"/>
              <w:bottom w:type="dxa" w:w="80"/>
              <w:right w:type="dxa" w:w="120"/>
            </w:tcMar>
            <w:vAlign w:val="center"/>
          </w:tcPr>
          <w:p>
            <w:pPr>
              <w:pStyle w:val="MdTableCell"/>
            </w:pPr>
            <w:r>
              <w:t xml:space="preserve">Tenant filters at query layer and DB, isolation tests, encryption, red-team testing</w:t>
            </w:r>
          </w:p>
        </w:tc>
        <w:tc>
          <w:tcPr>
            <w:tcBorders>
              <w:right w:val="none"/>
            </w:tcBorders>
            <w:tcMar>
              <w:top w:type="dxa" w:w="80"/>
              <w:left w:type="dxa" w:w="120"/>
              <w:bottom w:type="dxa" w:w="80"/>
              <w:right w:type="dxa" w:w="120"/>
            </w:tcMar>
            <w:vAlign w:val="center"/>
          </w:tcPr>
          <w:p>
            <w:pPr>
              <w:pStyle w:val="MdTableCell"/>
            </w:pPr>
            <w:r>
              <w:t xml:space="preserve">Security lead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Multilingual performance gap</w:t>
            </w:r>
          </w:p>
        </w:tc>
        <w:tc>
          <w:tcPr>
            <w:tcMar>
              <w:top w:type="dxa" w:w="80"/>
              <w:left w:type="dxa" w:w="120"/>
              <w:bottom w:type="dxa" w:w="80"/>
              <w:right w:type="dxa" w:w="120"/>
            </w:tcMar>
            <w:vAlign w:val="center"/>
          </w:tcPr>
          <w:p>
            <w:pPr>
              <w:pStyle w:val="MdTableCell"/>
            </w:pPr>
            <w:r>
              <w:t xml:space="preserve">High</w:t>
            </w:r>
          </w:p>
        </w:tc>
        <w:tc>
          <w:tcPr>
            <w:tcMar>
              <w:top w:type="dxa" w:w="80"/>
              <w:left w:type="dxa" w:w="120"/>
              <w:bottom w:type="dxa" w:w="80"/>
              <w:right w:type="dxa" w:w="120"/>
            </w:tcMar>
            <w:vAlign w:val="center"/>
          </w:tcPr>
          <w:p>
            <w:pPr>
              <w:pStyle w:val="MdTableCell"/>
              <w:jc w:val="right"/>
            </w:pPr>
            <w:r>
              <w:t xml:space="preserve">Medium</w:t>
            </w:r>
          </w:p>
        </w:tc>
        <w:tc>
          <w:tcPr>
            <w:tcMar>
              <w:top w:type="dxa" w:w="80"/>
              <w:left w:type="dxa" w:w="120"/>
              <w:bottom w:type="dxa" w:w="80"/>
              <w:right w:type="dxa" w:w="120"/>
            </w:tcMar>
            <w:vAlign w:val="center"/>
          </w:tcPr>
          <w:p>
            <w:pPr>
              <w:pStyle w:val="MdTableCell"/>
            </w:pPr>
            <w:r>
              <w:t xml:space="preserve">Language routing, multilingual embeddings, per-language evaluations</w:t>
            </w:r>
          </w:p>
        </w:tc>
        <w:tc>
          <w:tcPr>
            <w:tcBorders>
              <w:right w:val="none"/>
            </w:tcBorders>
            <w:tcMar>
              <w:top w:type="dxa" w:w="80"/>
              <w:left w:type="dxa" w:w="120"/>
              <w:bottom w:type="dxa" w:w="80"/>
              <w:right w:type="dxa" w:w="120"/>
            </w:tcMar>
            <w:vAlign w:val="center"/>
          </w:tcPr>
          <w:p>
            <w:pPr>
              <w:pStyle w:val="MdTableCell"/>
            </w:pPr>
            <w:r>
              <w:t xml:space="preserve">ML lead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Recruiter overreliance</w:t>
            </w:r>
          </w:p>
        </w:tc>
        <w:tc>
          <w:tcPr>
            <w:tcBorders>
              <w:bottom w:val="single" w:color="E1E4E8" w:sz="4"/>
            </w:tcBorders>
            <w:tcMar>
              <w:top w:type="dxa" w:w="80"/>
              <w:left w:type="dxa" w:w="120"/>
              <w:bottom w:type="dxa" w:w="80"/>
              <w:right w:type="dxa" w:w="120"/>
            </w:tcMar>
            <w:vAlign w:val="center"/>
          </w:tcPr>
          <w:p>
            <w:pPr>
              <w:pStyle w:val="MdTableCell"/>
            </w:pPr>
            <w:r>
              <w:t xml:space="preserve">High</w:t>
            </w:r>
          </w:p>
        </w:tc>
        <w:tc>
          <w:tcPr>
            <w:tcBorders>
              <w:bottom w:val="single" w:color="E1E4E8" w:sz="4"/>
            </w:tcBorders>
            <w:tcMar>
              <w:top w:type="dxa" w:w="80"/>
              <w:left w:type="dxa" w:w="120"/>
              <w:bottom w:type="dxa" w:w="80"/>
              <w:right w:type="dxa" w:w="120"/>
            </w:tcMar>
            <w:vAlign w:val="center"/>
          </w:tcPr>
          <w:p>
            <w:pPr>
              <w:pStyle w:val="MdTableCell"/>
              <w:jc w:val="right"/>
            </w:pPr>
            <w:r>
              <w:t xml:space="preserve">Medium</w:t>
            </w:r>
          </w:p>
        </w:tc>
        <w:tc>
          <w:tcPr>
            <w:tcBorders>
              <w:bottom w:val="single" w:color="E1E4E8" w:sz="4"/>
            </w:tcBorders>
            <w:tcMar>
              <w:top w:type="dxa" w:w="80"/>
              <w:left w:type="dxa" w:w="120"/>
              <w:bottom w:type="dxa" w:w="80"/>
              <w:right w:type="dxa" w:w="120"/>
            </w:tcMar>
            <w:vAlign w:val="center"/>
          </w:tcPr>
          <w:p>
            <w:pPr>
              <w:pStyle w:val="MdTableCell"/>
            </w:pPr>
            <w:r>
              <w:t xml:space="preserve">Human confirmation, uncertainty, override prompts, training, no score-only rejection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Product/legal</w:t>
            </w:r>
          </w:p>
        </w:tc>
      </w:tr>
    </w:tbl>
    <w:p>
      <w:pPr>
        <w:pStyle w:val="Heading2"/>
        <w:pStyle w:val="MdHeading2"/>
      </w:pPr>
      <w:r>
        <w:t xml:space="preserve">17. Definition of Done for MVP</w:t>
      </w:r>
    </w:p>
    <w:p>
      <w:pPr>
        <w:pStyle w:val="MdParagraph"/>
      </w:pPr>
      <w:r>
        <w:t xml:space="preserve">MVP is complete only when a design-partner recruiter can upload a job and at least 100 resumes, review a ranked shortlist with evidence, correct extraction errors, see the JD bias report, understand score components, run a counterfactual audit, and export an audit report. The engineering team must demonstrate tenant isolation, deletion, replayable model versions, rollback, and alerting. The ML team must meet the offline gates on a held-out dataset and disclose all subgroup limitations. The responsible-AI and legal reviewers must approve the recommendation-only workflow, notices, data handling, and audit methodology.</w:t>
      </w:r>
    </w:p>
    <w:p>
      <w:pPr>
        <w:pStyle w:val="MdSpace"/>
        <w:spacing w:before="0" w:after="60"/>
      </w:pPr>
    </w:p>
    <w:p>
      <w:pPr>
        <w:pStyle w:val="Heading2"/>
        <w:pStyle w:val="MdHeading2"/>
      </w:pPr>
      <w:r>
        <w:t xml:space="preserve">18. Recommended MVP Backlog</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Priority</w:t>
            </w:r>
          </w:p>
        </w:tc>
        <w:tc>
          <w:tcPr>
            <w:tcMar>
              <w:top w:type="dxa" w:w="100"/>
              <w:left w:type="dxa" w:w="120"/>
              <w:bottom w:type="dxa" w:w="100"/>
              <w:right w:type="dxa" w:w="120"/>
            </w:tcMar>
            <w:vAlign w:val="center"/>
          </w:tcPr>
          <w:p>
            <w:pPr>
              <w:pStyle w:val="MdTableHeader"/>
            </w:pPr>
            <w:r>
              <w:t xml:space="preserve">Epic</w:t>
            </w:r>
          </w:p>
        </w:tc>
        <w:tc>
          <w:tcPr>
            <w:tcBorders>
              <w:right w:val="none"/>
            </w:tcBorders>
            <w:tcMar>
              <w:top w:type="dxa" w:w="100"/>
              <w:left w:type="dxa" w:w="120"/>
              <w:bottom w:type="dxa" w:w="100"/>
              <w:right w:type="dxa" w:w="120"/>
            </w:tcMar>
            <w:vAlign w:val="center"/>
          </w:tcPr>
          <w:p>
            <w:pPr>
              <w:pStyle w:val="MdTableHeader"/>
            </w:pPr>
            <w:r>
              <w:t xml:space="preserve">Stories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P0</w:t>
            </w:r>
          </w:p>
        </w:tc>
        <w:tc>
          <w:tcPr>
            <w:tcMar>
              <w:top w:type="dxa" w:w="80"/>
              <w:left w:type="dxa" w:w="120"/>
              <w:bottom w:type="dxa" w:w="80"/>
              <w:right w:type="dxa" w:w="120"/>
            </w:tcMar>
            <w:vAlign w:val="center"/>
          </w:tcPr>
          <w:p>
            <w:pPr>
              <w:pStyle w:val="MdTableCell"/>
            </w:pPr>
            <w:r>
              <w:t xml:space="preserve">Secure ingestion</w:t>
            </w:r>
          </w:p>
        </w:tc>
        <w:tc>
          <w:tcPr>
            <w:tcBorders>
              <w:right w:val="none"/>
            </w:tcBorders>
            <w:tcMar>
              <w:top w:type="dxa" w:w="80"/>
              <w:left w:type="dxa" w:w="120"/>
              <w:bottom w:type="dxa" w:w="80"/>
              <w:right w:type="dxa" w:w="120"/>
            </w:tcMar>
            <w:vAlign w:val="center"/>
          </w:tcPr>
          <w:p>
            <w:pPr>
              <w:pStyle w:val="MdTableCell"/>
            </w:pPr>
            <w:r>
              <w:t xml:space="preserve">Upload, MIME validation, quarantine, async processing, deletion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P0</w:t>
            </w:r>
          </w:p>
        </w:tc>
        <w:tc>
          <w:tcPr>
            <w:tcMar>
              <w:top w:type="dxa" w:w="80"/>
              <w:left w:type="dxa" w:w="120"/>
              <w:bottom w:type="dxa" w:w="80"/>
              <w:right w:type="dxa" w:w="120"/>
            </w:tcMar>
            <w:vAlign w:val="center"/>
          </w:tcPr>
          <w:p>
            <w:pPr>
              <w:pStyle w:val="MdTableCell"/>
            </w:pPr>
            <w:r>
              <w:t xml:space="preserve">Canonical extraction</w:t>
            </w:r>
          </w:p>
        </w:tc>
        <w:tc>
          <w:tcPr>
            <w:tcBorders>
              <w:right w:val="none"/>
            </w:tcBorders>
            <w:tcMar>
              <w:top w:type="dxa" w:w="80"/>
              <w:left w:type="dxa" w:w="120"/>
              <w:bottom w:type="dxa" w:w="80"/>
              <w:right w:type="dxa" w:w="120"/>
            </w:tcMar>
            <w:vAlign w:val="center"/>
          </w:tcPr>
          <w:p>
            <w:pPr>
              <w:pStyle w:val="MdTableCell"/>
            </w:pPr>
            <w:r>
              <w:t xml:space="preserve">Sections, skills, experience, dates, source spans, confidence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P0</w:t>
            </w:r>
          </w:p>
        </w:tc>
        <w:tc>
          <w:tcPr>
            <w:tcMar>
              <w:top w:type="dxa" w:w="80"/>
              <w:left w:type="dxa" w:w="120"/>
              <w:bottom w:type="dxa" w:w="80"/>
              <w:right w:type="dxa" w:w="120"/>
            </w:tcMar>
            <w:vAlign w:val="center"/>
          </w:tcPr>
          <w:p>
            <w:pPr>
              <w:pStyle w:val="MdTableCell"/>
            </w:pPr>
            <w:r>
              <w:t xml:space="preserve">Taxonomy</w:t>
            </w:r>
          </w:p>
        </w:tc>
        <w:tc>
          <w:tcPr>
            <w:tcBorders>
              <w:right w:val="none"/>
            </w:tcBorders>
            <w:tcMar>
              <w:top w:type="dxa" w:w="80"/>
              <w:left w:type="dxa" w:w="120"/>
              <w:bottom w:type="dxa" w:w="80"/>
              <w:right w:type="dxa" w:w="120"/>
            </w:tcMar>
            <w:vAlign w:val="center"/>
          </w:tcPr>
          <w:p>
            <w:pPr>
              <w:pStyle w:val="MdTableCell"/>
            </w:pPr>
            <w:r>
              <w:t xml:space="preserve">ESCO import, aliases, linking, explicit/inferred labels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P0</w:t>
            </w:r>
          </w:p>
        </w:tc>
        <w:tc>
          <w:tcPr>
            <w:tcMar>
              <w:top w:type="dxa" w:w="80"/>
              <w:left w:type="dxa" w:w="120"/>
              <w:bottom w:type="dxa" w:w="80"/>
              <w:right w:type="dxa" w:w="120"/>
            </w:tcMar>
            <w:vAlign w:val="center"/>
          </w:tcPr>
          <w:p>
            <w:pPr>
              <w:pStyle w:val="MdTableCell"/>
            </w:pPr>
            <w:r>
              <w:t xml:space="preserve">Hybrid match</w:t>
            </w:r>
          </w:p>
        </w:tc>
        <w:tc>
          <w:tcPr>
            <w:tcBorders>
              <w:right w:val="none"/>
            </w:tcBorders>
            <w:tcMar>
              <w:top w:type="dxa" w:w="80"/>
              <w:left w:type="dxa" w:w="120"/>
              <w:bottom w:type="dxa" w:w="80"/>
              <w:right w:type="dxa" w:w="120"/>
            </w:tcMar>
            <w:vAlign w:val="center"/>
          </w:tcPr>
          <w:p>
            <w:pPr>
              <w:pStyle w:val="MdTableCell"/>
            </w:pPr>
            <w:r>
              <w:t xml:space="preserve">BM25F, dense retrieval, hard constraints, score components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P0</w:t>
            </w:r>
          </w:p>
        </w:tc>
        <w:tc>
          <w:tcPr>
            <w:tcMar>
              <w:top w:type="dxa" w:w="80"/>
              <w:left w:type="dxa" w:w="120"/>
              <w:bottom w:type="dxa" w:w="80"/>
              <w:right w:type="dxa" w:w="120"/>
            </w:tcMar>
            <w:vAlign w:val="center"/>
          </w:tcPr>
          <w:p>
            <w:pPr>
              <w:pStyle w:val="MdTableCell"/>
            </w:pPr>
            <w:r>
              <w:t xml:space="preserve">Explainability</w:t>
            </w:r>
          </w:p>
        </w:tc>
        <w:tc>
          <w:tcPr>
            <w:tcBorders>
              <w:right w:val="none"/>
            </w:tcBorders>
            <w:tcMar>
              <w:top w:type="dxa" w:w="80"/>
              <w:left w:type="dxa" w:w="120"/>
              <w:bottom w:type="dxa" w:w="80"/>
              <w:right w:type="dxa" w:w="120"/>
            </w:tcMar>
            <w:vAlign w:val="center"/>
          </w:tcPr>
          <w:p>
            <w:pPr>
              <w:pStyle w:val="MdTableCell"/>
            </w:pPr>
            <w:r>
              <w:t xml:space="preserve">Evidence snippets, missing skills, version metadata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P0</w:t>
            </w:r>
          </w:p>
        </w:tc>
        <w:tc>
          <w:tcPr>
            <w:tcMar>
              <w:top w:type="dxa" w:w="80"/>
              <w:left w:type="dxa" w:w="120"/>
              <w:bottom w:type="dxa" w:w="80"/>
              <w:right w:type="dxa" w:w="120"/>
            </w:tcMar>
            <w:vAlign w:val="center"/>
          </w:tcPr>
          <w:p>
            <w:pPr>
              <w:pStyle w:val="MdTableCell"/>
            </w:pPr>
            <w:r>
              <w:t xml:space="preserve">Human review</w:t>
            </w:r>
          </w:p>
        </w:tc>
        <w:tc>
          <w:tcPr>
            <w:tcBorders>
              <w:right w:val="none"/>
            </w:tcBorders>
            <w:tcMar>
              <w:top w:type="dxa" w:w="80"/>
              <w:left w:type="dxa" w:w="120"/>
              <w:bottom w:type="dxa" w:w="80"/>
              <w:right w:type="dxa" w:w="120"/>
            </w:tcMar>
            <w:vAlign w:val="center"/>
          </w:tcPr>
          <w:p>
            <w:pPr>
              <w:pStyle w:val="MdTableCell"/>
            </w:pPr>
            <w:r>
              <w:t xml:space="preserve">Advance/hold/reject with reviewer confirmation and reason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P0</w:t>
            </w:r>
          </w:p>
        </w:tc>
        <w:tc>
          <w:tcPr>
            <w:tcMar>
              <w:top w:type="dxa" w:w="80"/>
              <w:left w:type="dxa" w:w="120"/>
              <w:bottom w:type="dxa" w:w="80"/>
              <w:right w:type="dxa" w:w="120"/>
            </w:tcMar>
            <w:vAlign w:val="center"/>
          </w:tcPr>
          <w:p>
            <w:pPr>
              <w:pStyle w:val="MdTableCell"/>
            </w:pPr>
            <w:r>
              <w:t xml:space="preserve">Bias module</w:t>
            </w:r>
          </w:p>
        </w:tc>
        <w:tc>
          <w:tcPr>
            <w:tcBorders>
              <w:right w:val="none"/>
            </w:tcBorders>
            <w:tcMar>
              <w:top w:type="dxa" w:w="80"/>
              <w:left w:type="dxa" w:w="120"/>
              <w:bottom w:type="dxa" w:w="80"/>
              <w:right w:type="dxa" w:w="120"/>
            </w:tcMar>
            <w:vAlign w:val="center"/>
          </w:tcPr>
          <w:p>
            <w:pPr>
              <w:pStyle w:val="MdTableCell"/>
            </w:pPr>
            <w:r>
              <w:t xml:space="preserve">JD scan, PII redaction, counterfactual test, AIR dashboard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P0</w:t>
            </w:r>
          </w:p>
        </w:tc>
        <w:tc>
          <w:tcPr>
            <w:tcMar>
              <w:top w:type="dxa" w:w="80"/>
              <w:left w:type="dxa" w:w="120"/>
              <w:bottom w:type="dxa" w:w="80"/>
              <w:right w:type="dxa" w:w="120"/>
            </w:tcMar>
            <w:vAlign w:val="center"/>
          </w:tcPr>
          <w:p>
            <w:pPr>
              <w:pStyle w:val="MdTableCell"/>
            </w:pPr>
            <w:r>
              <w:t xml:space="preserve">Auditability</w:t>
            </w:r>
          </w:p>
        </w:tc>
        <w:tc>
          <w:tcPr>
            <w:tcBorders>
              <w:right w:val="none"/>
            </w:tcBorders>
            <w:tcMar>
              <w:top w:type="dxa" w:w="80"/>
              <w:left w:type="dxa" w:w="120"/>
              <w:bottom w:type="dxa" w:w="80"/>
              <w:right w:type="dxa" w:w="120"/>
            </w:tcMar>
            <w:vAlign w:val="center"/>
          </w:tcPr>
          <w:p>
            <w:pPr>
              <w:pStyle w:val="MdTableCell"/>
            </w:pPr>
            <w:r>
              <w:t xml:space="preserve">Append-only events, model card, report export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P1</w:t>
            </w:r>
          </w:p>
        </w:tc>
        <w:tc>
          <w:tcPr>
            <w:tcMar>
              <w:top w:type="dxa" w:w="80"/>
              <w:left w:type="dxa" w:w="120"/>
              <w:bottom w:type="dxa" w:w="80"/>
              <w:right w:type="dxa" w:w="120"/>
            </w:tcMar>
            <w:vAlign w:val="center"/>
          </w:tcPr>
          <w:p>
            <w:pPr>
              <w:pStyle w:val="MdTableCell"/>
            </w:pPr>
            <w:r>
              <w:t xml:space="preserve">Learning loop</w:t>
            </w:r>
          </w:p>
        </w:tc>
        <w:tc>
          <w:tcPr>
            <w:tcBorders>
              <w:right w:val="none"/>
            </w:tcBorders>
            <w:tcMar>
              <w:top w:type="dxa" w:w="80"/>
              <w:left w:type="dxa" w:w="120"/>
              <w:bottom w:type="dxa" w:w="80"/>
              <w:right w:type="dxa" w:w="120"/>
            </w:tcMar>
            <w:vAlign w:val="center"/>
          </w:tcPr>
          <w:p>
            <w:pPr>
              <w:pStyle w:val="MdTableCell"/>
            </w:pPr>
            <w:r>
              <w:t xml:space="preserve">Pairwise labeling, active learning, hard negatives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P1</w:t>
            </w:r>
          </w:p>
        </w:tc>
        <w:tc>
          <w:tcPr>
            <w:tcMar>
              <w:top w:type="dxa" w:w="80"/>
              <w:left w:type="dxa" w:w="120"/>
              <w:bottom w:type="dxa" w:w="80"/>
              <w:right w:type="dxa" w:w="120"/>
            </w:tcMar>
            <w:vAlign w:val="center"/>
          </w:tcPr>
          <w:p>
            <w:pPr>
              <w:pStyle w:val="MdTableCell"/>
            </w:pPr>
            <w:r>
              <w:t xml:space="preserve">Reranking</w:t>
            </w:r>
          </w:p>
        </w:tc>
        <w:tc>
          <w:tcPr>
            <w:tcBorders>
              <w:right w:val="none"/>
            </w:tcBorders>
            <w:tcMar>
              <w:top w:type="dxa" w:w="80"/>
              <w:left w:type="dxa" w:w="120"/>
              <w:bottom w:type="dxa" w:w="80"/>
              <w:right w:type="dxa" w:w="120"/>
            </w:tcMar>
            <w:vAlign w:val="center"/>
          </w:tcPr>
          <w:p>
            <w:pPr>
              <w:pStyle w:val="MdTableCell"/>
            </w:pPr>
            <w:r>
              <w:t xml:space="preserve">Cross-encoder top-K rerank and calibration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P1</w:t>
            </w:r>
          </w:p>
        </w:tc>
        <w:tc>
          <w:tcPr>
            <w:tcMar>
              <w:top w:type="dxa" w:w="80"/>
              <w:left w:type="dxa" w:w="120"/>
              <w:bottom w:type="dxa" w:w="80"/>
              <w:right w:type="dxa" w:w="120"/>
            </w:tcMar>
            <w:vAlign w:val="center"/>
          </w:tcPr>
          <w:p>
            <w:pPr>
              <w:pStyle w:val="MdTableCell"/>
            </w:pPr>
            <w:r>
              <w:t xml:space="preserve">Multilingual</w:t>
            </w:r>
          </w:p>
        </w:tc>
        <w:tc>
          <w:tcPr>
            <w:tcBorders>
              <w:right w:val="none"/>
            </w:tcBorders>
            <w:tcMar>
              <w:top w:type="dxa" w:w="80"/>
              <w:left w:type="dxa" w:w="120"/>
              <w:bottom w:type="dxa" w:w="80"/>
              <w:right w:type="dxa" w:w="120"/>
            </w:tcMar>
            <w:vAlign w:val="center"/>
          </w:tcPr>
          <w:p>
            <w:pPr>
              <w:pStyle w:val="MdTableCell"/>
            </w:pPr>
            <w:r>
              <w:t xml:space="preserve">Language detection, multilingual taxonomy and embeddings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P2</w:t>
            </w:r>
          </w:p>
        </w:tc>
        <w:tc>
          <w:tcPr>
            <w:tcMar>
              <w:top w:type="dxa" w:w="80"/>
              <w:left w:type="dxa" w:w="120"/>
              <w:bottom w:type="dxa" w:w="80"/>
              <w:right w:type="dxa" w:w="120"/>
            </w:tcMar>
            <w:vAlign w:val="center"/>
          </w:tcPr>
          <w:p>
            <w:pPr>
              <w:pStyle w:val="MdTableCell"/>
            </w:pPr>
            <w:r>
              <w:t xml:space="preserve">LTR</w:t>
            </w:r>
          </w:p>
        </w:tc>
        <w:tc>
          <w:tcPr>
            <w:tcBorders>
              <w:right w:val="none"/>
            </w:tcBorders>
            <w:tcMar>
              <w:top w:type="dxa" w:w="80"/>
              <w:left w:type="dxa" w:w="120"/>
              <w:bottom w:type="dxa" w:w="80"/>
              <w:right w:type="dxa" w:w="120"/>
            </w:tcMar>
            <w:vAlign w:val="center"/>
          </w:tcPr>
          <w:p>
            <w:pPr>
              <w:pStyle w:val="MdTableCell"/>
            </w:pPr>
            <w:r>
              <w:t xml:space="preserve">LightGBM LambdaMART after approved label volume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P2</w:t>
            </w:r>
          </w:p>
        </w:tc>
        <w:tc>
          <w:tcPr>
            <w:tcBorders>
              <w:bottom w:val="single" w:color="E1E4E8" w:sz="4"/>
            </w:tcBorders>
            <w:tcMar>
              <w:top w:type="dxa" w:w="80"/>
              <w:left w:type="dxa" w:w="120"/>
              <w:bottom w:type="dxa" w:w="80"/>
              <w:right w:type="dxa" w:w="120"/>
            </w:tcMar>
            <w:vAlign w:val="center"/>
          </w:tcPr>
          <w:p>
            <w:pPr>
              <w:pStyle w:val="MdTableCell"/>
            </w:pPr>
            <w:r>
              <w:t xml:space="preserve">Managed governance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External auditor workflow, customer evidence portal</w:t>
            </w:r>
          </w:p>
        </w:tc>
      </w:tr>
    </w:tbl>
    <w:p>
      <w:pPr>
        <w:pStyle w:val="Heading2"/>
        <w:pStyle w:val="MdHeading2"/>
      </w:pPr>
      <w:r>
        <w:t xml:space="preserve">19. Open Decisions Required Before Build</w:t>
      </w:r>
    </w:p>
    <w:p>
      <w:pPr>
        <w:pStyle w:val="MdParagraph"/>
      </w:pPr>
      <w:r>
        <w:t xml:space="preserve">The product team must decide whether the initial customer is US-only or multinational; whether self-hosted inference is a launch requirement; whether the product will integrate with an ATS or operate as an independent upload workflow; which taxonomy licenses are acceptable; whether customer-submitted demographic data is available for lawful aggregate audits; what candidate notice and appeal workflow the customer will own; what minimum sample sizes are required for reporting; and what fairness/quality trade-off the customer accepts when mitigation reduces ranking utility.</w:t>
      </w:r>
    </w:p>
    <w:p>
      <w:pPr>
        <w:pStyle w:val="MdSpace"/>
        <w:spacing w:before="0" w:after="60"/>
      </w:pPr>
    </w:p>
    <w:p>
      <w:pPr>
        <w:pStyle w:val="MdParagraph"/>
      </w:pPr>
      <w:r>
        <w:t xml:space="preserve">The team must also decide whether “years of experience” is a hard requirement or a soft signal, how to handle equivalent nontraditional experience, whether salary and location are supplied as structured fields, and whether recruiters may tune weights. Recruiter-adjustable weights should be constrained to approved ranges and logged; a “fairness knob” must never be a mechanism to evade alerts or select a preferred demographic outcome.</w:t>
      </w:r>
    </w:p>
    <w:p>
      <w:pPr>
        <w:pStyle w:val="MdSpace"/>
        <w:spacing w:before="0" w:after="60"/>
      </w:pPr>
    </w:p>
    <w:p>
      <w:pPr>
        <w:pStyle w:val="Heading2"/>
        <w:pStyle w:val="MdHeading2"/>
      </w:pPr>
      <w:r>
        <w:t xml:space="preserve">20. References</w:t>
      </w:r>
    </w:p>
    <w:p>
      <w:pPr>
        <w:pStyle w:val="Heading2"/>
        <w:pStyle w:val="MdHeading2"/>
      </w:pPr>
      <w:r>
        <w:t xml:space="preserve">Appendix A — Research Coverage Note</w:t>
      </w:r>
    </w:p>
    <w:p>
      <w:pPr>
        <w:pStyle w:val="MdParagraph"/>
      </w:pPr>
      <w:r>
        <w:t xml:space="preserve">This specification incorporates the completed wide-research streams on resume parsing, skill taxonomies, keyword matching, semantic embeddings, learning-to-rank, algorithmic bias, regulation, and practical bias-detection features. The parallel market-landscape stream was not fully synthesized because the available model-credit balance was depleted during execution. Vendor feature claims and market/pricing conclusions are therefore intentionally kept directional; before buying or positioning the product, validate each vendor’s current contract terms, feature set, and target-segment assumptions through customer discovery and primary vendor documentation.</w:t>
      </w:r>
    </w:p>
    <w:p>
      <w:pPr>
        <w:pStyle w:val="MdSpace"/>
        <w:spacing w:before="0" w:after="60"/>
      </w:pPr>
    </w:p>
    <w:p>
      <w:pPr>
        <w:pStyle w:val="Heading2"/>
        <w:pStyle w:val="MdHeading2"/>
      </w:pPr>
      <w:r>
        <w:t xml:space="preserve">Appendix B — First 30-Day Engineering Checklist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Week</w:t>
            </w:r>
          </w:p>
        </w:tc>
        <w:tc>
          <w:tcPr>
            <w:tcBorders>
              <w:right w:val="none"/>
            </w:tcBorders>
            <w:tcMar>
              <w:top w:type="dxa" w:w="100"/>
              <w:left w:type="dxa" w:w="120"/>
              <w:bottom w:type="dxa" w:w="100"/>
              <w:right w:type="dxa" w:w="120"/>
            </w:tcMar>
            <w:vAlign w:val="center"/>
          </w:tcPr>
          <w:p>
            <w:pPr>
              <w:pStyle w:val="MdTableHeader"/>
            </w:pPr>
            <w:r>
              <w:t xml:space="preserve">Deliverables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w:t>
            </w:r>
          </w:p>
        </w:tc>
        <w:tc>
          <w:tcPr>
            <w:tcBorders>
              <w:right w:val="none"/>
            </w:tcBorders>
            <w:tcMar>
              <w:top w:type="dxa" w:w="80"/>
              <w:left w:type="dxa" w:w="120"/>
              <w:bottom w:type="dxa" w:w="80"/>
              <w:right w:type="dxa" w:w="120"/>
            </w:tcMar>
            <w:vAlign w:val="center"/>
          </w:tcPr>
          <w:p>
            <w:pPr>
              <w:pStyle w:val="MdTableCell"/>
            </w:pPr>
            <w:r>
              <w:t xml:space="preserve">Confirm scope, jurisdiction matrix, data-flow map, threat model, repository, CI, coding standards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w:t>
            </w:r>
          </w:p>
        </w:tc>
        <w:tc>
          <w:tcPr>
            <w:tcBorders>
              <w:right w:val="none"/>
            </w:tcBorders>
            <w:tcMar>
              <w:top w:type="dxa" w:w="80"/>
              <w:left w:type="dxa" w:w="120"/>
              <w:bottom w:type="dxa" w:w="80"/>
              <w:right w:type="dxa" w:w="120"/>
            </w:tcMar>
            <w:vAlign w:val="center"/>
          </w:tcPr>
          <w:p>
            <w:pPr>
              <w:pStyle w:val="MdTableCell"/>
            </w:pPr>
            <w:r>
              <w:t xml:space="preserve">Secure upload, object storage quarantine, tenant model, deletion workflow, synthetic fixtures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w:t>
            </w:r>
          </w:p>
        </w:tc>
        <w:tc>
          <w:tcPr>
            <w:tcBorders>
              <w:right w:val="none"/>
            </w:tcBorders>
            <w:tcMar>
              <w:top w:type="dxa" w:w="80"/>
              <w:left w:type="dxa" w:w="120"/>
              <w:bottom w:type="dxa" w:w="80"/>
              <w:right w:type="dxa" w:w="120"/>
            </w:tcMar>
            <w:vAlign w:val="center"/>
          </w:tcPr>
          <w:p>
            <w:pPr>
              <w:pStyle w:val="MdTableCell"/>
            </w:pPr>
            <w:r>
              <w:t xml:space="preserve">PDF/DOCX/text extraction, section segmentation, source spans, parser regression harness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4</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ESCO import, canonical skill schema, aliases, first recruiter review screen, baseline BM25</w:t>
            </w:r>
          </w:p>
        </w:tc>
      </w:tr>
    </w:tbl>
    <w:p>
      <w:pPr>
        <w:pStyle w:val="MdParagraph"/>
      </w:pPr>
      <w:r>
        <w:t xml:space="preserve">The first month should optimize for </w:t>
      </w:r>
      <w:r>
        <w:rPr>
          <w:rStyle w:val="MdStrong"/>
          <w:b/>
          <w:bCs/>
        </w:rPr>
        <w:t xml:space="preserve">evidence and reversibility</w:t>
      </w:r>
      <w:r>
        <w:t xml:space="preserve">, not model novelty. Every later ranking improvement depends on having trustworthy source spans, clean versioning, lawful data handling, and a gold set that distinguishes relevance from historical selection behavior.</w:t>
      </w:r>
    </w:p>
    <w:p>
      <w:pPr>
        <w:pStyle w:val="MdSpace"/>
        <w:spacing w:before="0" w:after="60"/>
      </w:pPr>
    </w:p>
    <w:p>
      <w:pPr>
        <w:pStyle w:val="MdBlockquote"/>
      </w:pPr>
      <w:r>
        <w:rPr>
          <w:rStyle w:val="MdStrong"/>
          <w:b/>
          <w:bCs/>
        </w:rPr>
        <w:t xml:space="preserve">Recommended product principle:</w:t>
      </w:r>
      <w:r>
        <w:t xml:space="preserve"> if the system cannot show a recruiter why a candidate matched, show what it does not know, and show whether the result is stable under a controlled sensitive-attribute swap, it is not ready to influence an employment workflow.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g_horde2kikhd7ezw1an" Type="http://schemas.openxmlformats.org/officeDocument/2006/relationships/hyperlink" Target="https://esco.ec.europa.eu/en/classification/skill_main" TargetMode="External"/><Relationship Id="rIdu-n6ojldgfjnfku7hlj4k" Type="http://schemas.openxmlformats.org/officeDocument/2006/relationships/hyperlink" Target="https://www.onetcenter.org/content.html" TargetMode="External"/><Relationship Id="rIdi0p46ese9mgfv39lei-wb" Type="http://schemas.openxmlformats.org/officeDocument/2006/relationships/hyperlink" Target="https://www.elastic.co/guide/en/elasticsearch/reference/current/index-modules-similarity.html" TargetMode="External"/><Relationship Id="rIdx6_7zidmhys7oy3v5j0so" Type="http://schemas.openxmlformats.org/officeDocument/2006/relationships/hyperlink" Target="https://huggingface.co/BAAI/bge-reranker-v2-m3" TargetMode="External"/><Relationship Id="rId5ipl_k6p5szybtnolovrm" Type="http://schemas.openxmlformats.org/officeDocument/2006/relationships/hyperlink" Target="https://www.eeoc.gov/laws/guidance/uniform-guidelines-employee-selection-procedures" TargetMode="External"/><Relationship Id="rIdfuaboxfcssp3ki-swpx5s" Type="http://schemas.openxmlformats.org/officeDocument/2006/relationships/hyperlink" Target="https://www.nyc.gov/site/dca/about/automated-employment-decision-tools.page" TargetMode="External"/><Relationship Id="rIdpvwnfnd4f3nex6qoeuq2f" Type="http://schemas.openxmlformats.org/officeDocument/2006/relationships/hyperlink" Target="https://artificialintelligenceact.eu/" TargetMode="External"/><Relationship Id="rIdt83uliqwcja0vabmhomty" Type="http://schemas.openxmlformats.org/officeDocument/2006/relationships/hyperlink" Target="https://huggingface.co/datasets/netsol/resume-score-details" TargetMode="External"/><Relationship Id="rIdbggphn0xnh40q7bzczsh8" Type="http://schemas.openxmlformats.org/officeDocument/2006/relationships/hyperlink" Target="https://www.nyc.gov/site/dca/about/automated-employment-decision-tools.page" TargetMode="External"/><Relationship Id="rIdodq_37m2mtfkby3b7xeyr" Type="http://schemas.openxmlformats.org/officeDocument/2006/relationships/hyperlink" Target="https://artificialintelligenceact.eu/" TargetMode="External"/><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2026-08-15T17:50:48.672Z</dcterms:created>
  <dcterms:modified xsi:type="dcterms:W3CDTF">2026-08-15T17:50:48.672Z</dcterms:modified>
</cp:coreProperties>
</file>

<file path=docProps/custom.xml><?xml version="1.0" encoding="utf-8"?>
<Properties xmlns="http://schemas.openxmlformats.org/officeDocument/2006/custom-properties" xmlns:vt="http://schemas.openxmlformats.org/officeDocument/2006/docPropsVTypes"/>
</file>