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A2F5C"/>
          <w:sz w:val="56"/>
        </w:rPr>
        <w:t>FIDUS INVESTMENT MANAGEMENT</w:t>
      </w:r>
    </w:p>
    <w:p>
      <w:pPr>
        <w:jc w:val="center"/>
      </w:pPr>
      <w:r>
        <w:rPr>
          <w:color w:val="64748B"/>
          <w:sz w:val="28"/>
        </w:rPr>
        <w:t>Platform Architecture, Technology Stack &amp; Strategic Vision</w:t>
        <w:br/>
        <w:t>Board Response Document — March 2026 (Enhanced)</w:t>
      </w:r>
    </w:p>
    <w:p/>
    <w:p>
      <w:pPr>
        <w:jc w:val="center"/>
      </w:pPr>
      <w:r>
        <w:rPr>
          <w:color w:val="94A3B8"/>
          <w:sz w:val="22"/>
        </w:rPr>
        <w:t>CONFIDENTIAL</w:t>
        <w:br/>
        <w:t>Prepared by: Salvador "Chava" Palma Rubin de Celis</w:t>
        <w:br/>
        <w:t>March 2026</w:t>
      </w:r>
    </w:p>
    <w:p>
      <w:r>
        <w:br w:type="page"/>
      </w:r>
    </w:p>
    <w:p>
      <w:pPr>
        <w:pStyle w:val="Heading1"/>
      </w:pPr>
      <w:r>
        <w:rPr>
          <w:color w:val="0A2F5C"/>
        </w:rPr>
        <w:t>Table of Contents</w:t>
      </w:r>
    </w:p>
    <w:p>
      <w:r>
        <w:t>1. FIDUS Platform Architecture Overview</w:t>
      </w:r>
    </w:p>
    <w:p>
      <w:r>
        <w:t>2. Complete Technology Stack — What FIDUS Can Do Today</w:t>
      </w:r>
    </w:p>
    <w:p>
      <w:r>
        <w:t>3. Three-Layer Risk Control Architecture (Post-Incident)</w:t>
      </w:r>
    </w:p>
    <w:p>
      <w:r>
        <w:t>4. FIDUS Retail — The Viral Growth Engine</w:t>
      </w:r>
    </w:p>
    <w:p>
      <w:r>
        <w:t>5. GMS Digital Partnership — TikTok Distribution Strategy</w:t>
      </w:r>
    </w:p>
    <w:p>
      <w:r>
        <w:t>6. White Label Franchise System</w:t>
      </w:r>
    </w:p>
    <w:p>
      <w:r>
        <w:t>7. Chava's Role &amp; Responsibilities</w:t>
      </w:r>
    </w:p>
    <w:p>
      <w:r>
        <w:t>8. Strategic Vision &amp; Five-Year Roadmap</w:t>
      </w:r>
    </w:p>
    <w:p>
      <w:r>
        <w:t>9. Infrastructure Metrics &amp; Deployment Summary</w:t>
      </w:r>
    </w:p>
    <w:p>
      <w:r>
        <w:br w:type="page"/>
      </w:r>
    </w:p>
    <w:p>
      <w:pPr>
        <w:pStyle w:val="Heading1"/>
      </w:pPr>
      <w:r>
        <w:rPr>
          <w:color w:val="0A2F5C"/>
        </w:rPr>
        <w:t>1. FIDUS Platform Architecture Overview</w:t>
      </w:r>
    </w:p>
    <w:p>
      <w:r>
        <w:t>FIDUS Investment Management is a multi-manager alternative investment platform purpose-built for Latin American retail and institutional investors. The platform operates four distinct investment products — CORE, BALANCE, DYNAMIC, and UNLIMITED — each delivering different yield tiers, payment schedules, and minimum investment thresholds, while sharing a single unified fund infrastructure.</w:t>
      </w:r>
    </w:p>
    <w:p>
      <w:pPr>
        <w:pStyle w:val="Heading2"/>
      </w:pPr>
      <w:r>
        <w:rPr>
          <w:color w:val="0EA5E9"/>
        </w:rPr>
        <w:t>Investment Products</w:t>
      </w:r>
    </w:p>
    <w:p>
      <w:r>
        <w:t>All MT5 trading accounts across all brokers — MEXAtlantic and LUCRUM — constitute a single unified fund pool. Capital is not segregated by client product type. The product tier selected by the client determines only what FIDUS owes that client: the applicable interest rate, payment frequency, and contract terms.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Product</w:t>
            </w:r>
          </w:p>
        </w:tc>
        <w:tc>
          <w:tcPr>
            <w:tcW w:type="dxa" w:w="1881"/>
          </w:tcPr>
          <w:p>
            <w:r>
              <w:t>Monthly Return</w:t>
            </w:r>
          </w:p>
        </w:tc>
        <w:tc>
          <w:tcPr>
            <w:tcW w:type="dxa" w:w="1881"/>
          </w:tcPr>
          <w:p>
            <w:r>
              <w:t>Minimum</w:t>
            </w:r>
          </w:p>
        </w:tc>
        <w:tc>
          <w:tcPr>
            <w:tcW w:type="dxa" w:w="1881"/>
          </w:tcPr>
          <w:p>
            <w:r>
              <w:t>Contract</w:t>
            </w:r>
          </w:p>
        </w:tc>
        <w:tc>
          <w:tcPr>
            <w:tcW w:type="dxa" w:w="1881"/>
          </w:tcPr>
          <w:p>
            <w:r>
              <w:t>Payment</w:t>
            </w:r>
          </w:p>
        </w:tc>
      </w:tr>
      <w:tr>
        <w:tc>
          <w:tcPr>
            <w:tcW w:type="dxa" w:w="1881"/>
          </w:tcPr>
          <w:p>
            <w:r>
              <w:t>CORE</w:t>
            </w:r>
          </w:p>
        </w:tc>
        <w:tc>
          <w:tcPr>
            <w:tcW w:type="dxa" w:w="1881"/>
          </w:tcPr>
          <w:p>
            <w:r>
              <w:t>1.5%</w:t>
            </w:r>
          </w:p>
        </w:tc>
        <w:tc>
          <w:tcPr>
            <w:tcW w:type="dxa" w:w="1881"/>
          </w:tcPr>
          <w:p>
            <w:r>
              <w:t>$100 USD</w:t>
            </w:r>
          </w:p>
        </w:tc>
        <w:tc>
          <w:tcPr>
            <w:tcW w:type="dxa" w:w="1881"/>
          </w:tcPr>
          <w:p>
            <w:r>
              <w:t>No lock-in</w:t>
            </w:r>
          </w:p>
        </w:tc>
        <w:tc>
          <w:tcPr>
            <w:tcW w:type="dxa" w:w="1881"/>
          </w:tcPr>
          <w:p>
            <w:r>
              <w:t>Monthly</w:t>
            </w:r>
          </w:p>
        </w:tc>
      </w:tr>
      <w:tr>
        <w:tc>
          <w:tcPr>
            <w:tcW w:type="dxa" w:w="1881"/>
          </w:tcPr>
          <w:p>
            <w:r>
              <w:t>BALANCE</w:t>
            </w:r>
          </w:p>
        </w:tc>
        <w:tc>
          <w:tcPr>
            <w:tcW w:type="dxa" w:w="1881"/>
          </w:tcPr>
          <w:p>
            <w:r>
              <w:t>2.0%</w:t>
            </w:r>
          </w:p>
        </w:tc>
        <w:tc>
          <w:tcPr>
            <w:tcW w:type="dxa" w:w="1881"/>
          </w:tcPr>
          <w:p>
            <w:r>
              <w:t>$100,000 USD</w:t>
            </w:r>
          </w:p>
        </w:tc>
        <w:tc>
          <w:tcPr>
            <w:tcW w:type="dxa" w:w="1881"/>
          </w:tcPr>
          <w:p>
            <w:r>
              <w:t>14 months</w:t>
            </w:r>
          </w:p>
        </w:tc>
        <w:tc>
          <w:tcPr>
            <w:tcW w:type="dxa" w:w="1881"/>
          </w:tcPr>
          <w:p>
            <w:r>
              <w:t>Quarterly</w:t>
            </w:r>
          </w:p>
        </w:tc>
      </w:tr>
      <w:tr>
        <w:tc>
          <w:tcPr>
            <w:tcW w:type="dxa" w:w="1881"/>
          </w:tcPr>
          <w:p>
            <w:r>
              <w:t>DYNAMIC</w:t>
            </w:r>
          </w:p>
        </w:tc>
        <w:tc>
          <w:tcPr>
            <w:tcW w:type="dxa" w:w="1881"/>
          </w:tcPr>
          <w:p>
            <w:r>
              <w:t>2.5%</w:t>
            </w:r>
          </w:p>
        </w:tc>
        <w:tc>
          <w:tcPr>
            <w:tcW w:type="dxa" w:w="1881"/>
          </w:tcPr>
          <w:p>
            <w:r>
              <w:t>$250,000 USD</w:t>
            </w:r>
          </w:p>
        </w:tc>
        <w:tc>
          <w:tcPr>
            <w:tcW w:type="dxa" w:w="1881"/>
          </w:tcPr>
          <w:p>
            <w:r>
              <w:t>18 months</w:t>
            </w:r>
          </w:p>
        </w:tc>
        <w:tc>
          <w:tcPr>
            <w:tcW w:type="dxa" w:w="1881"/>
          </w:tcPr>
          <w:p>
            <w:r>
              <w:t>Quarterly</w:t>
            </w:r>
          </w:p>
        </w:tc>
      </w:tr>
      <w:tr>
        <w:tc>
          <w:tcPr>
            <w:tcW w:type="dxa" w:w="1881"/>
          </w:tcPr>
          <w:p>
            <w:r>
              <w:t>UNLIMITED</w:t>
            </w:r>
          </w:p>
        </w:tc>
        <w:tc>
          <w:tcPr>
            <w:tcW w:type="dxa" w:w="1881"/>
          </w:tcPr>
          <w:p>
            <w:r>
              <w:t>Gross - fees</w:t>
            </w:r>
          </w:p>
        </w:tc>
        <w:tc>
          <w:tcPr>
            <w:tcW w:type="dxa" w:w="1881"/>
          </w:tcPr>
          <w:p>
            <w:r>
              <w:t>$500,000 USD</w:t>
            </w:r>
          </w:p>
        </w:tc>
        <w:tc>
          <w:tcPr>
            <w:tcW w:type="dxa" w:w="1881"/>
          </w:tcPr>
          <w:p>
            <w:r>
              <w:t>24 months</w:t>
            </w:r>
          </w:p>
        </w:tc>
        <w:tc>
          <w:tcPr>
            <w:tcW w:type="dxa" w:w="1881"/>
          </w:tcPr>
          <w:p>
            <w:r>
              <w:t>Quarterly</w:t>
            </w:r>
          </w:p>
        </w:tc>
      </w:tr>
      <w:tr>
        <w:tc>
          <w:tcPr>
            <w:tcW w:type="dxa" w:w="1881"/>
          </w:tcPr>
          <w:p>
            <w:r>
              <w:t>CORE RETAIL</w:t>
            </w:r>
          </w:p>
        </w:tc>
        <w:tc>
          <w:tcPr>
            <w:tcW w:type="dxa" w:w="1881"/>
          </w:tcPr>
          <w:p>
            <w:r>
              <w:t>1.5%</w:t>
            </w:r>
          </w:p>
        </w:tc>
        <w:tc>
          <w:tcPr>
            <w:tcW w:type="dxa" w:w="1881"/>
          </w:tcPr>
          <w:p>
            <w:r>
              <w:t>$100 USD</w:t>
            </w:r>
          </w:p>
        </w:tc>
        <w:tc>
          <w:tcPr>
            <w:tcW w:type="dxa" w:w="1881"/>
          </w:tcPr>
          <w:p>
            <w:r>
              <w:t>No contract</w:t>
            </w:r>
          </w:p>
        </w:tc>
        <w:tc>
          <w:tcPr>
            <w:tcW w:type="dxa" w:w="1881"/>
          </w:tcPr>
          <w:p>
            <w:r>
              <w:t>Monthly</w:t>
            </w:r>
          </w:p>
        </w:tc>
      </w:tr>
    </w:tbl>
    <w:p/>
    <w:p>
      <w:pPr>
        <w:pStyle w:val="Heading2"/>
      </w:pPr>
      <w:r>
        <w:rPr>
          <w:color w:val="0EA5E9"/>
        </w:rPr>
        <w:t>Technology Infrastructure — Four Core Layers</w:t>
      </w:r>
    </w:p>
    <w:p>
      <w:pPr>
        <w:pStyle w:val="ListBullet"/>
      </w:pPr>
      <w:r>
        <w:t>MongoDB Atlas — Primary data backbone: client records, trading snapshots, P&amp;L history, compliance logs, risk events, equity snapshots</w:t>
      </w:r>
    </w:p>
    <w:p>
      <w:pPr>
        <w:pStyle w:val="ListBullet"/>
      </w:pPr>
      <w:r>
        <w:t>Render Backend API (FastAPI/Python) — Business logic: authentication, P&amp;L calculations, risk monitoring, alert delivery, franchise management, retail operations</w:t>
      </w:r>
    </w:p>
    <w:p>
      <w:pPr>
        <w:pStyle w:val="ListBullet"/>
      </w:pPr>
      <w:r>
        <w:t>React Frontend Dashboard — Institutional-grade UI: portfolio monitoring, cash flow analysis, risk alerts, manager portals, retail client apps</w:t>
      </w:r>
    </w:p>
    <w:p>
      <w:pPr>
        <w:pStyle w:val="ListBullet"/>
      </w:pPr>
      <w:r>
        <w:t>Windows VPS Bridge Service — Real-time MT5 connectivity to MEXAtlantic and LUCRUM, syncing equity, positions, and trade history every 2-5 minutes</w:t>
      </w:r>
    </w:p>
    <w:p>
      <w:r>
        <w:br w:type="page"/>
      </w:r>
    </w:p>
    <w:p>
      <w:pPr>
        <w:pStyle w:val="Heading1"/>
      </w:pPr>
      <w:r>
        <w:rPr>
          <w:color w:val="0A2F5C"/>
        </w:rPr>
        <w:t>2. Complete Technology Stack — What FIDUS Can Do Today</w:t>
      </w:r>
    </w:p>
    <w:p>
      <w:r>
        <w:t>The FIDUS platform has evolved from a basic dashboard into a comprehensive institutional-grade investment management system. Below is the complete inventory of deployed capabilities as of March 2026.</w:t>
      </w:r>
    </w:p>
    <w:p>
      <w:pPr>
        <w:pStyle w:val="Heading2"/>
      </w:pPr>
      <w:r>
        <w:rPr>
          <w:color w:val="0EA5E9"/>
        </w:rPr>
        <w:t>A. Admin Dashboard (21 Tabs)</w:t>
      </w:r>
    </w:p>
    <w:p>
      <w:r>
        <w:rPr>
          <w:b/>
        </w:rPr>
        <w:t xml:space="preserve">Fund Portfolio: </w:t>
      </w:r>
      <w:r>
        <w:t>Capital allocation management, account overview, fund-level P&amp;L</w:t>
      </w:r>
    </w:p>
    <w:p>
      <w:r>
        <w:rPr>
          <w:b/>
        </w:rPr>
        <w:t xml:space="preserve">Cash Flow &amp; Performance: </w:t>
      </w:r>
      <w:r>
        <w:t>Obligations calendar with per-client breakdown, running balance, net fund position, capital &amp; revenue calculation (Single Source of Truth)</w:t>
      </w:r>
    </w:p>
    <w:p>
      <w:r>
        <w:rPr>
          <w:b/>
        </w:rPr>
        <w:t xml:space="preserve">Trading Analytics: </w:t>
      </w:r>
      <w:r>
        <w:t>Live trading performance, strategy rankings, P&amp;L attribution</w:t>
      </w:r>
    </w:p>
    <w:p>
      <w:r>
        <w:rPr>
          <w:b/>
        </w:rPr>
        <w:t xml:space="preserve">Risk Alerts: </w:t>
      </w:r>
      <w:r>
        <w:t>Real-time drawdown monitoring across ALL accounts (11 monitored), email + Telegram alerts, portfolio breach detection, alert lifecycle management</w:t>
      </w:r>
    </w:p>
    <w:p>
      <w:r>
        <w:rPr>
          <w:b/>
        </w:rPr>
        <w:t xml:space="preserve">Money Managers: </w:t>
      </w:r>
      <w:r>
        <w:t>Per-manager cards with risk grade badges (CRITICAL/HALT/WARN/OK), copy trading configurations, edit profiles, allocation management</w:t>
      </w:r>
    </w:p>
    <w:p>
      <w:r>
        <w:rPr>
          <w:b/>
        </w:rPr>
        <w:t xml:space="preserve">LIVE DEMO: </w:t>
      </w:r>
      <w:r>
        <w:t>Live demo strategy evaluation (8 active strategies), TRUE P&amp;L with withdrawal adjustment, risk grade badges</w:t>
      </w:r>
    </w:p>
    <w:p>
      <w:r>
        <w:rPr>
          <w:b/>
        </w:rPr>
        <w:t xml:space="preserve">Demo Analytics: </w:t>
      </w:r>
      <w:r>
        <w:t>Hull Risk Engine analysis per strategy: compliance scoring, drawdown analysis, bot optimization, copy ratio recommendations, VaR/CVaR, per-trade risk</w:t>
      </w:r>
    </w:p>
    <w:p>
      <w:r>
        <w:rPr>
          <w:b/>
        </w:rPr>
        <w:t xml:space="preserve">Instruments: </w:t>
      </w:r>
      <w:r>
        <w:t>125 instrument specifications with margin requirements</w:t>
      </w:r>
    </w:p>
    <w:p>
      <w:r>
        <w:rPr>
          <w:b/>
        </w:rPr>
        <w:t xml:space="preserve">Risk Parameters: </w:t>
      </w:r>
      <w:r>
        <w:t>6 sub-tabs: Hull Framework theory, FIDUS Policy (editable), Prohibited Trading Calendar (49 events), Position Sizing Calculator, Stress Testing (8 scenarios), Compliance Dashboard</w:t>
      </w:r>
    </w:p>
    <w:p>
      <w:r>
        <w:rPr>
          <w:b/>
        </w:rPr>
        <w:t xml:space="preserve">Gap Analysis: </w:t>
      </w:r>
      <w:r>
        <w:t>Revenue gap analysis and growth projections</w:t>
      </w:r>
    </w:p>
    <w:p>
      <w:r>
        <w:rPr>
          <w:b/>
        </w:rPr>
        <w:t xml:space="preserve">Risk Alerts: </w:t>
      </w:r>
      <w:r>
        <w:t>Portfolio and per-account breach detection with email + Telegram delivery</w:t>
      </w:r>
    </w:p>
    <w:p>
      <w:pPr>
        <w:pStyle w:val="Heading2"/>
      </w:pPr>
      <w:r>
        <w:rPr>
          <w:color w:val="0EA5E9"/>
        </w:rPr>
        <w:t>B. Hull Risk Framework (6 Sub-Tabs)</w:t>
      </w:r>
    </w:p>
    <w:p>
      <w:pPr>
        <w:pStyle w:val="ListBullet"/>
      </w:pPr>
      <w:r>
        <w:t>Hull Framework Theory — Position sizing formulas, VaR/CVaR methodology, drawdown as paramount metric, risk-adjusted returns (Sharpe, Sortino, Calmar, Kelly)</w:t>
      </w:r>
    </w:p>
    <w:p>
      <w:pPr>
        <w:pStyle w:val="ListBullet"/>
      </w:pPr>
      <w:r>
        <w:t>FIDUS Policy — Editable risk parameters: max 1% per trade, 3% intraday, 6% weekly, 10% monthly DD, 25% margin, force flat 21:50 UTC</w:t>
      </w:r>
    </w:p>
    <w:p>
      <w:pPr>
        <w:pStyle w:val="ListBullet"/>
      </w:pPr>
      <w:r>
        <w:t>Prohibited Trading Calendar — 49 events for 2026: FOMC (8), NFP (12), CPI (12), US Holidays, Jackson Hole, Quad Witching. Countdown to next event.</w:t>
      </w:r>
    </w:p>
    <w:p>
      <w:pPr>
        <w:pStyle w:val="ListBullet"/>
      </w:pPr>
      <w:r>
        <w:t>Position Sizing Calculator — Interactive: equity + risk% = Hull lots for 9 instruments (Gold, Forex, Indices, Oil, Crypto)</w:t>
      </w:r>
    </w:p>
    <w:p>
      <w:pPr>
        <w:pStyle w:val="ListBullet"/>
      </w:pPr>
      <w:r>
        <w:t>Stress Testing — 8 scenarios: March 18 Gold Incident, Flash Crash, NFP Surprise, FOMC Hike, Black Swan, Broker Failure, Weekend Gap, Correlation Breakdown</w:t>
      </w:r>
    </w:p>
    <w:p>
      <w:pPr>
        <w:pStyle w:val="ListBullet"/>
      </w:pPr>
      <w:r>
        <w:t>Compliance Dashboard — Live portfolio breach status, per-account drawdown bars, unresolved alert counts</w:t>
      </w:r>
    </w:p>
    <w:p>
      <w:pPr>
        <w:pStyle w:val="Heading2"/>
      </w:pPr>
      <w:r>
        <w:rPr>
          <w:color w:val="0EA5E9"/>
        </w:rPr>
        <w:t>C. Risk Monitoring &amp; Alert System (Layer 2)</w:t>
      </w:r>
    </w:p>
    <w:p>
      <w:pPr>
        <w:pStyle w:val="ListBullet"/>
      </w:pPr>
      <w:r>
        <w:t>5-minute monitoring cycle runs after every VPS sync</w:t>
      </w:r>
    </w:p>
    <w:p>
      <w:pPr>
        <w:pStyle w:val="ListBullet"/>
      </w:pPr>
      <w:r>
        <w:t>Per-account drawdown checks: 3% WARNING, 5% CRITICAL (configurable)</w:t>
      </w:r>
    </w:p>
    <w:p>
      <w:pPr>
        <w:pStyle w:val="ListBullet"/>
      </w:pPr>
      <w:r>
        <w:t>Portfolio-level checks: 5% WARNING, 10% CRITICAL</w:t>
      </w:r>
    </w:p>
    <w:p>
      <w:pPr>
        <w:pStyle w:val="ListBullet"/>
      </w:pPr>
      <w:r>
        <w:t>Dual-channel alerts: Email (Gmail SMTP) + Telegram bot (@fidushedge_bot)</w:t>
      </w:r>
    </w:p>
    <w:p>
      <w:pPr>
        <w:pStyle w:val="ListBullet"/>
      </w:pPr>
      <w:r>
        <w:t>Alert deduplication: max 1 alert per account per type per 60 minutes</w:t>
      </w:r>
    </w:p>
    <w:p>
      <w:pPr>
        <w:pStyle w:val="ListBullet"/>
      </w:pPr>
      <w:r>
        <w:t>Equity snapshots stored every 5 minutes with 90-day retention</w:t>
      </w:r>
    </w:p>
    <w:p>
      <w:pPr>
        <w:pStyle w:val="ListBullet"/>
      </w:pPr>
      <w:r>
        <w:t>MongoDB alerts collection with full lifecycle (sent, resolved, resolved_by)</w:t>
      </w:r>
    </w:p>
    <w:p>
      <w:pPr>
        <w:pStyle w:val="Heading2"/>
      </w:pPr>
      <w:r>
        <w:rPr>
          <w:color w:val="0EA5E9"/>
        </w:rPr>
        <w:t>D. Manager Portal</w:t>
      </w:r>
    </w:p>
    <w:p>
      <w:pPr>
        <w:pStyle w:val="ListBullet"/>
      </w:pPr>
      <w:r>
        <w:t>Dedicated login at /manager/login — scoped by allowed_accounts</w:t>
      </w:r>
    </w:p>
    <w:p>
      <w:pPr>
        <w:pStyle w:val="ListBullet"/>
      </w:pPr>
      <w:r>
        <w:t>5 sections: Risk Overview, VaR/CVaR, Per-Trade Risk Analysis, Daily P&amp;L with breach detection, Trade History</w:t>
      </w:r>
    </w:p>
    <w:p>
      <w:pPr>
        <w:pStyle w:val="ListBullet"/>
      </w:pPr>
      <w:r>
        <w:t>Hull VaR/CVaR engine: Historical simulation, Expected Shortfall, Monte Carlo projections</w:t>
      </w:r>
    </w:p>
    <w:p>
      <w:pPr>
        <w:pStyle w:val="ListBullet"/>
      </w:pPr>
      <w:r>
        <w:t>Per-trade risk: risk % of equity, drawdown contribution, Hull limit violations</w:t>
      </w:r>
    </w:p>
    <w:p>
      <w:pPr>
        <w:pStyle w:val="ListBullet"/>
      </w:pPr>
      <w:r>
        <w:t>Session analysis: Asian/London/NY with P&amp;L, win rate, risk concentration</w:t>
      </w:r>
    </w:p>
    <w:p>
      <w:pPr>
        <w:pStyle w:val="ListBullet"/>
      </w:pPr>
      <w:r>
        <w:t>PDF report download — professional compliance report per strategy</w:t>
      </w:r>
    </w:p>
    <w:p>
      <w:pPr>
        <w:pStyle w:val="ListBullet"/>
      </w:pPr>
      <w:r>
        <w:t>Prohibited calendar alerts visible in manager view</w:t>
      </w:r>
    </w:p>
    <w:p>
      <w:pPr>
        <w:pStyle w:val="Heading2"/>
      </w:pPr>
      <w:r>
        <w:rPr>
          <w:color w:val="0EA5E9"/>
        </w:rPr>
        <w:t>E. Risk Management User Role</w:t>
      </w:r>
    </w:p>
    <w:p>
      <w:pPr>
        <w:pStyle w:val="ListBullet"/>
      </w:pPr>
      <w:r>
        <w:t>Dedicated "Risk Management Login" on the main FIDUS login page</w:t>
      </w:r>
    </w:p>
    <w:p>
      <w:pPr>
        <w:pStyle w:val="ListBullet"/>
      </w:pPr>
      <w:r>
        <w:t>Restricted tab access: Risk Alerts, LIVE DEMO, Demo Analytics, Instruments, Risk Parameters, Gap Analysis</w:t>
      </w:r>
    </w:p>
    <w:p>
      <w:pPr>
        <w:pStyle w:val="ListBullet"/>
      </w:pPr>
      <w:r>
        <w:t>Two users created: Estefani Rojas, Andy Martinez</w:t>
      </w:r>
    </w:p>
    <w:p>
      <w:pPr>
        <w:pStyle w:val="Heading2"/>
      </w:pPr>
      <w:r>
        <w:rPr>
          <w:color w:val="0EA5E9"/>
        </w:rPr>
        <w:t>F. Global Risk Framework Integration</w:t>
      </w:r>
    </w:p>
    <w:p>
      <w:pPr>
        <w:pStyle w:val="ListBullet"/>
      </w:pPr>
      <w:r>
        <w:t>Hull Risk Framework drives across ALL tabs — not just Risk Parameters</w:t>
      </w:r>
    </w:p>
    <w:p>
      <w:pPr>
        <w:pStyle w:val="ListBullet"/>
      </w:pPr>
      <w:r>
        <w:t>Header countdown: "Non-Farm Payrolls in Xd" visible on every tab</w:t>
      </w:r>
    </w:p>
    <w:p>
      <w:pPr>
        <w:pStyle w:val="ListBullet"/>
      </w:pPr>
      <w:r>
        <w:t>Global risk banner: "PORTFOLIO PROTECTION LINE BREACHED" on all tabs when in drawdown</w:t>
      </w:r>
    </w:p>
    <w:p>
      <w:pPr>
        <w:pStyle w:val="ListBullet"/>
      </w:pPr>
      <w:r>
        <w:t>Risk grade badges (CRITICAL/HALT/WARN/OK) on every Money Manager and LIVE DEMO card</w:t>
      </w:r>
    </w:p>
    <w:p>
      <w:pPr>
        <w:pStyle w:val="ListBullet"/>
      </w:pPr>
      <w:r>
        <w:t>Prohibited calendar warnings propagate to Manager Portal</w:t>
      </w:r>
    </w:p>
    <w:p>
      <w:r>
        <w:br w:type="page"/>
      </w:r>
    </w:p>
    <w:p>
      <w:pPr>
        <w:pStyle w:val="Heading1"/>
      </w:pPr>
      <w:r>
        <w:rPr>
          <w:color w:val="0A2F5C"/>
        </w:rPr>
        <w:t>3. Three-Layer Risk Control Architecture</w:t>
      </w:r>
    </w:p>
    <w:p>
      <w:r>
        <w:t>Following the March 18, 2026 Gold trading incident ($65K loss across 3 accounts in 82 seconds), FIDUS rebuilt its risk control framework from the ground up. The architecture is now based on three independent, redundant layers — any one of which can protect client capital independently.</w:t>
      </w:r>
    </w:p>
    <w:p>
      <w:pPr>
        <w:pStyle w:val="Heading2"/>
      </w:pPr>
      <w:r>
        <w:rPr>
          <w:color w:val="0EA5E9"/>
        </w:rPr>
        <w:t>Layer 1 — Social Trading Platform (Primary Defense)</w:t>
      </w:r>
    </w:p>
    <w:p>
      <w:pPr>
        <w:pStyle w:val="ListBullet"/>
      </w:pPr>
      <w:r>
        <w:t>Equity monitors configured on the social trading platform</w:t>
      </w:r>
    </w:p>
    <w:p>
      <w:pPr>
        <w:pStyle w:val="ListBullet"/>
      </w:pPr>
      <w:r>
        <w:t>3% alert threshold, 5% full halt</w:t>
      </w:r>
    </w:p>
    <w:p>
      <w:pPr>
        <w:pStyle w:val="ListBullet"/>
      </w:pPr>
      <w:r>
        <w:t>Can disable copiers, close trades, send alerts</w:t>
      </w:r>
    </w:p>
    <w:p>
      <w:pPr>
        <w:pStyle w:val="ListBullet"/>
      </w:pPr>
      <w:r>
        <w:t>Fastest response time — operates at trade execution level</w:t>
      </w:r>
    </w:p>
    <w:p>
      <w:pPr>
        <w:pStyle w:val="Heading2"/>
      </w:pPr>
      <w:r>
        <w:rPr>
          <w:color w:val="0EA5E9"/>
        </w:rPr>
        <w:t>Layer 2 — FIDUS Platform (Monitoring &amp; Alerting)</w:t>
      </w:r>
    </w:p>
    <w:p>
      <w:pPr>
        <w:pStyle w:val="ListBullet"/>
      </w:pPr>
      <w:r>
        <w:t>DETECT → ALERT → LOG. No trade execution.</w:t>
      </w:r>
    </w:p>
    <w:p>
      <w:pPr>
        <w:pStyle w:val="ListBullet"/>
      </w:pPr>
      <w:r>
        <w:t>5-minute equity polling with drawdown checks</w:t>
      </w:r>
    </w:p>
    <w:p>
      <w:pPr>
        <w:pStyle w:val="ListBullet"/>
      </w:pPr>
      <w:r>
        <w:t>Email + Telegram alerts to Chava on every breach</w:t>
      </w:r>
    </w:p>
    <w:p>
      <w:pPr>
        <w:pStyle w:val="ListBullet"/>
      </w:pPr>
      <w:r>
        <w:t>Equity snapshots for forensic analysis</w:t>
      </w:r>
    </w:p>
    <w:p>
      <w:pPr>
        <w:pStyle w:val="ListBullet"/>
      </w:pPr>
      <w:r>
        <w:t>Risk score auto-computation from breach events</w:t>
      </w:r>
    </w:p>
    <w:p>
      <w:pPr>
        <w:pStyle w:val="Heading2"/>
      </w:pPr>
      <w:r>
        <w:rPr>
          <w:color w:val="0EA5E9"/>
        </w:rPr>
        <w:t>Layer 3 — LUCRUM Broker (Last Resort)</w:t>
      </w:r>
    </w:p>
    <w:p>
      <w:pPr>
        <w:pStyle w:val="ListBullet"/>
      </w:pPr>
      <w:r>
        <w:t>Broker-level break switch at 8% drawdown threshold</w:t>
      </w:r>
    </w:p>
    <w:p>
      <w:pPr>
        <w:pStyle w:val="ListBullet"/>
      </w:pPr>
      <w:r>
        <w:t>Broker-controlled — independent of FIDUS platform</w:t>
      </w:r>
    </w:p>
    <w:p>
      <w:pPr>
        <w:pStyle w:val="ListBullet"/>
      </w:pPr>
      <w:r>
        <w:t>Activates even if Layer 1 and Layer 2 both fail</w:t>
      </w:r>
    </w:p>
    <w:p>
      <w:r>
        <w:br w:type="page"/>
      </w:r>
    </w:p>
    <w:p>
      <w:pPr>
        <w:pStyle w:val="Heading1"/>
      </w:pPr>
      <w:r>
        <w:rPr>
          <w:color w:val="0A2F5C"/>
        </w:rPr>
        <w:t>4. FIDUS Retail — The Viral Growth Engine</w:t>
      </w:r>
    </w:p>
    <w:p>
      <w:r>
        <w:t>FIDUS Retail represents a fundamental expansion of the platform from institutional B2B to mass-market B2C distribution. Built on the proven FIDUS CORE product, Retail removes every barrier to entry: no contracts, no minimums above $100, and monthly payouts.</w:t>
      </w:r>
    </w:p>
    <w:p>
      <w:pPr>
        <w:pStyle w:val="Heading2"/>
      </w:pPr>
      <w:r>
        <w:rPr>
          <w:color w:val="0EA5E9"/>
        </w:rPr>
        <w:t>Product: FIDUS CORE Retail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Parameter</w:t>
            </w:r>
          </w:p>
        </w:tc>
        <w:tc>
          <w:tcPr>
            <w:tcW w:type="dxa" w:w="4703"/>
          </w:tcPr>
          <w:p>
            <w:r>
              <w:t>Value</w:t>
            </w:r>
          </w:p>
        </w:tc>
      </w:tr>
      <w:tr>
        <w:tc>
          <w:tcPr>
            <w:tcW w:type="dxa" w:w="4703"/>
          </w:tcPr>
          <w:p>
            <w:r>
              <w:t>Monthly Return</w:t>
            </w:r>
          </w:p>
        </w:tc>
        <w:tc>
          <w:tcPr>
            <w:tcW w:type="dxa" w:w="4703"/>
          </w:tcPr>
          <w:p>
            <w:r>
              <w:t>1.5%</w:t>
            </w:r>
          </w:p>
        </w:tc>
      </w:tr>
      <w:tr>
        <w:tc>
          <w:tcPr>
            <w:tcW w:type="dxa" w:w="4703"/>
          </w:tcPr>
          <w:p>
            <w:r>
              <w:t>Annual Target</w:t>
            </w:r>
          </w:p>
        </w:tc>
        <w:tc>
          <w:tcPr>
            <w:tcW w:type="dxa" w:w="4703"/>
          </w:tcPr>
          <w:p>
            <w:r>
              <w:t>18%</w:t>
            </w:r>
          </w:p>
        </w:tc>
      </w:tr>
      <w:tr>
        <w:tc>
          <w:tcPr>
            <w:tcW w:type="dxa" w:w="4703"/>
          </w:tcPr>
          <w:p>
            <w:r>
              <w:t>Minimum Investment</w:t>
            </w:r>
          </w:p>
        </w:tc>
        <w:tc>
          <w:tcPr>
            <w:tcW w:type="dxa" w:w="4703"/>
          </w:tcPr>
          <w:p>
            <w:r>
              <w:t>$100 USD</w:t>
            </w:r>
          </w:p>
        </w:tc>
      </w:tr>
      <w:tr>
        <w:tc>
          <w:tcPr>
            <w:tcW w:type="dxa" w:w="4703"/>
          </w:tcPr>
          <w:p>
            <w:r>
              <w:t>Contract</w:t>
            </w:r>
          </w:p>
        </w:tc>
        <w:tc>
          <w:tcPr>
            <w:tcW w:type="dxa" w:w="4703"/>
          </w:tcPr>
          <w:p>
            <w:r>
              <w:t>None — withdraw anytime</w:t>
            </w:r>
          </w:p>
        </w:tc>
      </w:tr>
      <w:tr>
        <w:tc>
          <w:tcPr>
            <w:tcW w:type="dxa" w:w="4703"/>
          </w:tcPr>
          <w:p>
            <w:r>
              <w:t>Payment Frequency</w:t>
            </w:r>
          </w:p>
        </w:tc>
        <w:tc>
          <w:tcPr>
            <w:tcW w:type="dxa" w:w="4703"/>
          </w:tcPr>
          <w:p>
            <w:r>
              <w:t>Monthly (end of month)</w:t>
            </w:r>
          </w:p>
        </w:tc>
      </w:tr>
      <w:tr>
        <w:tc>
          <w:tcPr>
            <w:tcW w:type="dxa" w:w="4703"/>
          </w:tcPr>
          <w:p>
            <w:r>
              <w:t>FIDUS Revenue</w:t>
            </w:r>
          </w:p>
        </w:tc>
        <w:tc>
          <w:tcPr>
            <w:tcW w:type="dxa" w:w="4703"/>
          </w:tcPr>
          <w:p>
            <w:r>
              <w:t>1.0% spread (2.5% gross - 1.5% client)</w:t>
            </w:r>
          </w:p>
        </w:tc>
      </w:tr>
    </w:tbl>
    <w:p/>
    <w:p>
      <w:pPr>
        <w:pStyle w:val="Heading2"/>
      </w:pPr>
      <w:r>
        <w:rPr>
          <w:color w:val="0EA5E9"/>
        </w:rPr>
        <w:t>Retail Technology Stack (Deployed)</w:t>
      </w:r>
    </w:p>
    <w:p>
      <w:pPr>
        <w:pStyle w:val="ListBullet"/>
      </w:pPr>
      <w:r>
        <w:t>Landing Page (/retail) — Spanish default with EN toggle. "Gana 1.5% Mensual Sobre Tu Capital." Investment simulator, 4-step onboarding flow, trust section.</w:t>
      </w:r>
    </w:p>
    <w:p>
      <w:pPr>
        <w:pStyle w:val="ListBullet"/>
      </w:pPr>
      <w:r>
        <w:t>LUCRUM Account Opening — Popup window integration (LUCRUM signup opens in a popup over FIDUS page). Client never leaves FIDUS visually.</w:t>
      </w:r>
    </w:p>
    <w:p>
      <w:pPr>
        <w:pStyle w:val="ListBullet"/>
      </w:pPr>
      <w:r>
        <w:t>Client Portal (/retail/login) — Revolut-inspired mobile-first UI: balance card, quick actions (+Add Money, -Withdraw, Product Info, Simulator), payment calendar with green/red fund health indicators, deposit simulator.</w:t>
      </w:r>
    </w:p>
    <w:p>
      <w:pPr>
        <w:pStyle w:val="ListBullet"/>
      </w:pPr>
      <w:r>
        <w:t>Admin Portal (/retail/admin) — 4 tabs: Overview (AUM, clients, revenue KPIs), Clients (table with search, CSV, add client), Fund (Cash Flow &amp; Performance with FIDUS revenue calculation, net position, scaling projections), Payment Calendar (monthly obligations with per-client breakdown).</w:t>
      </w:r>
    </w:p>
    <w:p>
      <w:pPr>
        <w:pStyle w:val="Heading2"/>
      </w:pPr>
      <w:r>
        <w:rPr>
          <w:color w:val="0EA5E9"/>
        </w:rPr>
        <w:t>Why Retail is the Growth Engine</w:t>
      </w:r>
    </w:p>
    <w:p>
      <w:pPr>
        <w:pStyle w:val="ListBullet"/>
      </w:pPr>
      <w:r>
        <w:t>$100 minimum removes barrier to entry for 200M+ Latin Americans with smartphones</w:t>
      </w:r>
    </w:p>
    <w:p>
      <w:pPr>
        <w:pStyle w:val="ListBullet"/>
      </w:pPr>
      <w:r>
        <w:t>No contract = zero friction. "Try it with $100, withdraw if you don't like it."</w:t>
      </w:r>
    </w:p>
    <w:p>
      <w:pPr>
        <w:pStyle w:val="ListBullet"/>
      </w:pPr>
      <w:r>
        <w:t>Monthly payments = recurring engagement and word-of-mouth</w:t>
      </w:r>
    </w:p>
    <w:p>
      <w:pPr>
        <w:pStyle w:val="ListBullet"/>
      </w:pPr>
      <w:r>
        <w:t>Mobile-first Revolut-style UI = familiar, modern, trustworthy</w:t>
      </w:r>
    </w:p>
    <w:p>
      <w:pPr>
        <w:pStyle w:val="ListBullet"/>
      </w:pPr>
      <w:r>
        <w:t>1.0% FIDUS revenue spread at scale: $1M AUM = $10K/month, $10M = $100K/month</w:t>
      </w:r>
    </w:p>
    <w:p>
      <w:r>
        <w:br w:type="page"/>
      </w:r>
    </w:p>
    <w:p>
      <w:pPr>
        <w:pStyle w:val="Heading1"/>
      </w:pPr>
      <w:r>
        <w:rPr>
          <w:color w:val="0A2F5C"/>
        </w:rPr>
        <w:t>5. GMS Digital Partnership — TikTok Distribution Strategy</w:t>
      </w:r>
    </w:p>
    <w:p>
      <w:r>
        <w:t>FIDUS has entered into a strategic distribution partnership with GMS Digital, a leading digital marketing agency in Mexico with deep expertise in TikTok, Instagram, and social media-driven financial product distribution.</w:t>
      </w:r>
    </w:p>
    <w:p>
      <w:pPr>
        <w:pStyle w:val="Heading2"/>
      </w:pPr>
      <w:r>
        <w:rPr>
          <w:color w:val="0EA5E9"/>
        </w:rPr>
        <w:t>The Viral Strategy</w:t>
      </w:r>
    </w:p>
    <w:p>
      <w:pPr>
        <w:pStyle w:val="ListBullet"/>
      </w:pPr>
      <w:r>
        <w:t>GMS Digital operates a network of financial content creators (finfluencers) across Mexico and Latin America with combined reach of 5M+ followers</w:t>
      </w:r>
    </w:p>
    <w:p>
      <w:pPr>
        <w:pStyle w:val="ListBullet"/>
      </w:pPr>
      <w:r>
        <w:t>FIDUS CORE Retail ($100 minimum, 1.5% monthly, no contract) is perfectly designed for viral social media distribution</w:t>
      </w:r>
    </w:p>
    <w:p>
      <w:pPr>
        <w:pStyle w:val="ListBullet"/>
      </w:pPr>
      <w:r>
        <w:t>TikTok-native content format: "I invested $100 in FIDUS. Here's what happened after 30 days..." → $1.50 return → reinvest → compounding story</w:t>
      </w:r>
    </w:p>
    <w:p>
      <w:pPr>
        <w:pStyle w:val="ListBullet"/>
      </w:pPr>
      <w:r>
        <w:t>Target demographic: 18-35 year olds in Mexico, Colombia, Peru, Chile who have smartphones and $100-$1,000 in savings but no access to institutional investment products</w:t>
      </w:r>
    </w:p>
    <w:p>
      <w:pPr>
        <w:pStyle w:val="Heading2"/>
      </w:pPr>
      <w:r>
        <w:rPr>
          <w:color w:val="0EA5E9"/>
        </w:rPr>
        <w:t>Distribution Model</w:t>
      </w:r>
    </w:p>
    <w:p>
      <w:pPr>
        <w:pStyle w:val="ListBullet"/>
      </w:pPr>
      <w:r>
        <w:t>GMS Digital creates and distributes educational content about FIDUS CORE</w:t>
      </w:r>
    </w:p>
    <w:p>
      <w:pPr>
        <w:pStyle w:val="ListBullet"/>
      </w:pPr>
      <w:r>
        <w:t>Each piece of content includes the FIDUS referral link (tracked via LUCRUM IB system)</w:t>
      </w:r>
    </w:p>
    <w:p>
      <w:pPr>
        <w:pStyle w:val="ListBullet"/>
      </w:pPr>
      <w:r>
        <w:t>FIDUS pays GMS Digital a commission on referred AUM (funded through the 1.0% FIDUS spread)</w:t>
      </w:r>
    </w:p>
    <w:p>
      <w:pPr>
        <w:pStyle w:val="ListBullet"/>
      </w:pPr>
      <w:r>
        <w:t>GMS Digital content creators are compensated per verified client onboarded</w:t>
      </w:r>
    </w:p>
    <w:p>
      <w:pPr>
        <w:pStyle w:val="ListBullet"/>
      </w:pPr>
      <w:r>
        <w:t>FIDUS provides the landing page, onboarding flow, client portal, and ongoing service</w:t>
      </w:r>
    </w:p>
    <w:p>
      <w:pPr>
        <w:pStyle w:val="Heading2"/>
      </w:pPr>
      <w:r>
        <w:rPr>
          <w:color w:val="0EA5E9"/>
        </w:rPr>
        <w:t>Projected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Month</w:t>
            </w:r>
          </w:p>
        </w:tc>
        <w:tc>
          <w:tcPr>
            <w:tcW w:type="dxa" w:w="2351"/>
          </w:tcPr>
          <w:p>
            <w:r>
              <w:t>New Clients</w:t>
            </w:r>
          </w:p>
        </w:tc>
        <w:tc>
          <w:tcPr>
            <w:tcW w:type="dxa" w:w="2351"/>
          </w:tcPr>
          <w:p>
            <w:r>
              <w:t>Cumulative AUM</w:t>
            </w:r>
          </w:p>
        </w:tc>
        <w:tc>
          <w:tcPr>
            <w:tcW w:type="dxa" w:w="2351"/>
          </w:tcPr>
          <w:p>
            <w:r>
              <w:t>Monthly Revenue</w:t>
            </w:r>
          </w:p>
        </w:tc>
      </w:tr>
      <w:tr>
        <w:tc>
          <w:tcPr>
            <w:tcW w:type="dxa" w:w="2351"/>
          </w:tcPr>
          <w:p>
            <w:r>
              <w:t>Month 1-3</w:t>
            </w:r>
          </w:p>
        </w:tc>
        <w:tc>
          <w:tcPr>
            <w:tcW w:type="dxa" w:w="2351"/>
          </w:tcPr>
          <w:p>
            <w:r>
              <w:t>100</w:t>
            </w:r>
          </w:p>
        </w:tc>
        <w:tc>
          <w:tcPr>
            <w:tcW w:type="dxa" w:w="2351"/>
          </w:tcPr>
          <w:p>
            <w:r>
              <w:t>$50,000</w:t>
            </w:r>
          </w:p>
        </w:tc>
        <w:tc>
          <w:tcPr>
            <w:tcW w:type="dxa" w:w="2351"/>
          </w:tcPr>
          <w:p>
            <w:r>
              <w:t>$500</w:t>
            </w:r>
          </w:p>
        </w:tc>
      </w:tr>
      <w:tr>
        <w:tc>
          <w:tcPr>
            <w:tcW w:type="dxa" w:w="2351"/>
          </w:tcPr>
          <w:p>
            <w:r>
              <w:t>Month 4-6</w:t>
            </w:r>
          </w:p>
        </w:tc>
        <w:tc>
          <w:tcPr>
            <w:tcW w:type="dxa" w:w="2351"/>
          </w:tcPr>
          <w:p>
            <w:r>
              <w:t>500</w:t>
            </w:r>
          </w:p>
        </w:tc>
        <w:tc>
          <w:tcPr>
            <w:tcW w:type="dxa" w:w="2351"/>
          </w:tcPr>
          <w:p>
            <w:r>
              <w:t>$300,000</w:t>
            </w:r>
          </w:p>
        </w:tc>
        <w:tc>
          <w:tcPr>
            <w:tcW w:type="dxa" w:w="2351"/>
          </w:tcPr>
          <w:p>
            <w:r>
              <w:t>$3,000</w:t>
            </w:r>
          </w:p>
        </w:tc>
      </w:tr>
      <w:tr>
        <w:tc>
          <w:tcPr>
            <w:tcW w:type="dxa" w:w="2351"/>
          </w:tcPr>
          <w:p>
            <w:r>
              <w:t>Month 7-9</w:t>
            </w:r>
          </w:p>
        </w:tc>
        <w:tc>
          <w:tcPr>
            <w:tcW w:type="dxa" w:w="2351"/>
          </w:tcPr>
          <w:p>
            <w:r>
              <w:t>2,000</w:t>
            </w:r>
          </w:p>
        </w:tc>
        <w:tc>
          <w:tcPr>
            <w:tcW w:type="dxa" w:w="2351"/>
          </w:tcPr>
          <w:p>
            <w:r>
              <w:t>$1,200,000</w:t>
            </w:r>
          </w:p>
        </w:tc>
        <w:tc>
          <w:tcPr>
            <w:tcW w:type="dxa" w:w="2351"/>
          </w:tcPr>
          <w:p>
            <w:r>
              <w:t>$12,000</w:t>
            </w:r>
          </w:p>
        </w:tc>
      </w:tr>
      <w:tr>
        <w:tc>
          <w:tcPr>
            <w:tcW w:type="dxa" w:w="2351"/>
          </w:tcPr>
          <w:p>
            <w:r>
              <w:t>Month 10-12</w:t>
            </w:r>
          </w:p>
        </w:tc>
        <w:tc>
          <w:tcPr>
            <w:tcW w:type="dxa" w:w="2351"/>
          </w:tcPr>
          <w:p>
            <w:r>
              <w:t>5,000</w:t>
            </w:r>
          </w:p>
        </w:tc>
        <w:tc>
          <w:tcPr>
            <w:tcW w:type="dxa" w:w="2351"/>
          </w:tcPr>
          <w:p>
            <w:r>
              <w:t>$3,500,000</w:t>
            </w:r>
          </w:p>
        </w:tc>
        <w:tc>
          <w:tcPr>
            <w:tcW w:type="dxa" w:w="2351"/>
          </w:tcPr>
          <w:p>
            <w:r>
              <w:t>$35,000</w:t>
            </w:r>
          </w:p>
        </w:tc>
      </w:tr>
      <w:tr>
        <w:tc>
          <w:tcPr>
            <w:tcW w:type="dxa" w:w="2351"/>
          </w:tcPr>
          <w:p>
            <w:r>
              <w:t>Year 2</w:t>
            </w:r>
          </w:p>
        </w:tc>
        <w:tc>
          <w:tcPr>
            <w:tcW w:type="dxa" w:w="2351"/>
          </w:tcPr>
          <w:p>
            <w:r>
              <w:t>20,000+</w:t>
            </w:r>
          </w:p>
        </w:tc>
        <w:tc>
          <w:tcPr>
            <w:tcW w:type="dxa" w:w="2351"/>
          </w:tcPr>
          <w:p>
            <w:r>
              <w:t>$10,000,000+</w:t>
            </w:r>
          </w:p>
        </w:tc>
        <w:tc>
          <w:tcPr>
            <w:tcW w:type="dxa" w:w="2351"/>
          </w:tcPr>
          <w:p>
            <w:r>
              <w:t>$100,000+</w:t>
            </w:r>
          </w:p>
        </w:tc>
      </w:tr>
    </w:tbl>
    <w:p>
      <w:r>
        <w:t>Note: Projections assume average deposit of $500 per client and 10% monthly churn rate. Viral TikTok distribution can significantly accelerate these timelines.</w:t>
      </w:r>
    </w:p>
    <w:p>
      <w:r>
        <w:br w:type="page"/>
      </w:r>
    </w:p>
    <w:p>
      <w:pPr>
        <w:pStyle w:val="Heading1"/>
      </w:pPr>
      <w:r>
        <w:rPr>
          <w:color w:val="0A2F5C"/>
        </w:rPr>
        <w:t>6. White Label Franchise System</w:t>
      </w:r>
    </w:p>
    <w:p>
      <w:r>
        <w:t>FIDUS has built a complete white-label franchise system that allows third-party companies to operate their own branded version of the FIDUS platform, managing their own clients and agents under the FIDUS infrastructure.</w:t>
      </w:r>
    </w:p>
    <w:p>
      <w:pPr>
        <w:pStyle w:val="Heading2"/>
      </w:pPr>
      <w:r>
        <w:rPr>
          <w:color w:val="0EA5E9"/>
        </w:rPr>
        <w:t>Deployed Capabilities</w:t>
      </w:r>
    </w:p>
    <w:p>
      <w:pPr>
        <w:pStyle w:val="ListBullet"/>
      </w:pPr>
      <w:r>
        <w:t>Phase 1: Franchise company management (CRUD) with commission split structure</w:t>
      </w:r>
    </w:p>
    <w:p>
      <w:pPr>
        <w:pStyle w:val="ListBullet"/>
      </w:pPr>
      <w:r>
        <w:t>Phase 2: Franchise Admin Portal with 7 tabs (Overview, Portfolio, Cash Flow, Risk, Clients, Referrals, Commissions)</w:t>
      </w:r>
    </w:p>
    <w:p>
      <w:pPr>
        <w:pStyle w:val="ListBullet"/>
      </w:pPr>
      <w:r>
        <w:t>Phase 3: Client Portal and Agent Portal for franchise end-users</w:t>
      </w:r>
    </w:p>
    <w:p>
      <w:pPr>
        <w:pStyle w:val="ListBullet"/>
      </w:pPr>
      <w:r>
        <w:t>Phase 4: Self-service onboarding (Add Client/Agent with auto-generated credentials), CSV bulk import, CSV downloads on all data tabs</w:t>
      </w:r>
    </w:p>
    <w:p>
      <w:pPr>
        <w:pStyle w:val="ListBullet"/>
      </w:pPr>
      <w:r>
        <w:t>Revenue Simulator at /franchise/simulator — interactive AUM/spread/commission calculator with MXN/USD toggle</w:t>
      </w:r>
    </w:p>
    <w:p>
      <w:r>
        <w:br w:type="page"/>
      </w:r>
    </w:p>
    <w:p>
      <w:pPr>
        <w:pStyle w:val="Heading1"/>
      </w:pPr>
      <w:r>
        <w:rPr>
          <w:color w:val="0A2F5C"/>
        </w:rPr>
        <w:t>7. Chava's Role &amp; Responsibilities</w:t>
      </w:r>
    </w:p>
    <w:p>
      <w:r>
        <w:t>Salvador "Chava" Palma Rubin de Celis brings approximately 27 years of broker-dealer and institutional markets experience to FIDUS. His current portfolio of roles spans fund leadership, algorithmic risk governance, and institutional markets — providing FIDUS with a uniquely integrated combination of operational depth and strategic credibility.</w:t>
      </w:r>
    </w:p>
    <w:p>
      <w:pPr>
        <w:pStyle w:val="Heading2"/>
      </w:pPr>
      <w:r>
        <w:rPr>
          <w:color w:val="0EA5E9"/>
        </w:rPr>
        <w:t>Investment Philosophy</w:t>
      </w:r>
    </w:p>
    <w:p>
      <w:r>
        <w:t>Chava's investment philosophy is grounded in three principles: professional risk governance over opportunistic trading, diversification across multiple independent money managers rather than concentration in a single strategy, and technology-enabled transparency that gives both FIDUS and its clients real-time visibility into portfolio performance and risk exposure.</w:t>
      </w:r>
    </w:p>
    <w:p>
      <w:pPr>
        <w:pStyle w:val="Heading2"/>
      </w:pPr>
      <w:r>
        <w:rPr>
          <w:color w:val="0EA5E9"/>
        </w:rPr>
        <w:t>Operational Leadership</w:t>
      </w:r>
    </w:p>
    <w:p>
      <w:r>
        <w:t>At the operational level, Chava personally oversees money manager onboarding and ongoing compliance review, including performance benchmarking, drawdown monitoring, and strategy adherence audits. He established the three-layer risk control architecture currently protecting all FIDUS-managed accounts.</w:t>
      </w:r>
    </w:p>
    <w:p>
      <w:r>
        <w:br w:type="page"/>
      </w:r>
    </w:p>
    <w:p>
      <w:pPr>
        <w:pStyle w:val="Heading1"/>
      </w:pPr>
      <w:r>
        <w:rPr>
          <w:color w:val="0A2F5C"/>
        </w:rPr>
        <w:t>8. Strategic Vision &amp; Five-Year Roadmap</w:t>
      </w:r>
    </w:p>
    <w:p>
      <w:pPr>
        <w:pStyle w:val="Heading2"/>
      </w:pPr>
      <w:r>
        <w:rPr>
          <w:color w:val="0EA5E9"/>
        </w:rPr>
        <w:t>2026 Quarterly Roadmap</w:t>
      </w:r>
    </w:p>
    <w:p>
      <w:r>
        <w:rPr>
          <w:b/>
        </w:rPr>
        <w:t>Q1 2026 (COMPLETED)</w:t>
      </w:r>
    </w:p>
    <w:p>
      <w:pPr>
        <w:pStyle w:val="ListBullet"/>
      </w:pPr>
      <w:r>
        <w:t>Core platform deployed: Admin Dashboard, MT5 Bridge, Cash Flow Management</w:t>
      </w:r>
    </w:p>
    <w:p>
      <w:pPr>
        <w:pStyle w:val="ListBullet"/>
      </w:pPr>
      <w:r>
        <w:t>Hull Risk Framework implemented across all tabs</w:t>
      </w:r>
    </w:p>
    <w:p>
      <w:pPr>
        <w:pStyle w:val="ListBullet"/>
      </w:pPr>
      <w:r>
        <w:t>Three-layer risk architecture established post-Gold incident</w:t>
      </w:r>
    </w:p>
    <w:p>
      <w:pPr>
        <w:pStyle w:val="ListBullet"/>
      </w:pPr>
      <w:r>
        <w:t>Manager Portal with VaR/CVaR and per-trade risk analysis</w:t>
      </w:r>
    </w:p>
    <w:p>
      <w:pPr>
        <w:pStyle w:val="ListBullet"/>
      </w:pPr>
      <w:r>
        <w:t>Risk Management user role with restricted access</w:t>
      </w:r>
    </w:p>
    <w:p>
      <w:pPr>
        <w:pStyle w:val="ListBullet"/>
      </w:pPr>
      <w:r>
        <w:t>Email + Telegram alert system operational</w:t>
      </w:r>
    </w:p>
    <w:p>
      <w:r>
        <w:rPr>
          <w:b/>
        </w:rPr>
        <w:t>Q2 2026 (IN PROGRESS)</w:t>
      </w:r>
    </w:p>
    <w:p>
      <w:pPr>
        <w:pStyle w:val="ListBullet"/>
      </w:pPr>
      <w:r>
        <w:t>FIDUS Retail launch — landing page, client portal, admin portal</w:t>
      </w:r>
    </w:p>
    <w:p>
      <w:pPr>
        <w:pStyle w:val="ListBullet"/>
      </w:pPr>
      <w:r>
        <w:t>GMS Digital partnership activation — TikTok distribution begins</w:t>
      </w:r>
    </w:p>
    <w:p>
      <w:pPr>
        <w:pStyle w:val="ListBullet"/>
      </w:pPr>
      <w:r>
        <w:t>White Label Franchise system refinement</w:t>
      </w:r>
    </w:p>
    <w:p>
      <w:pPr>
        <w:pStyle w:val="ListBullet"/>
      </w:pPr>
      <w:r>
        <w:t>VANTAGE broker partnership formalization</w:t>
      </w:r>
    </w:p>
    <w:p>
      <w:r>
        <w:rPr>
          <w:b/>
        </w:rPr>
        <w:t>Q3 2026</w:t>
      </w:r>
    </w:p>
    <w:p>
      <w:pPr>
        <w:pStyle w:val="ListBullet"/>
      </w:pPr>
      <w:r>
        <w:t>Retail viral growth acceleration — target 1,000+ clients</w:t>
      </w:r>
    </w:p>
    <w:p>
      <w:pPr>
        <w:pStyle w:val="ListBullet"/>
      </w:pPr>
      <w:r>
        <w:t>Automated client onboarding with KYC integration</w:t>
      </w:r>
    </w:p>
    <w:p>
      <w:pPr>
        <w:pStyle w:val="ListBullet"/>
      </w:pPr>
      <w:r>
        <w:t>Multi-language support expansion (Portuguese for Brazil)</w:t>
      </w:r>
    </w:p>
    <w:p>
      <w:pPr>
        <w:pStyle w:val="ListBullet"/>
      </w:pPr>
      <w:r>
        <w:t>Mobile app development (React Native)</w:t>
      </w:r>
    </w:p>
    <w:p>
      <w:r>
        <w:rPr>
          <w:b/>
        </w:rPr>
        <w:t>Q4 2026</w:t>
      </w:r>
    </w:p>
    <w:p>
      <w:pPr>
        <w:pStyle w:val="ListBullet"/>
      </w:pPr>
      <w:r>
        <w:t>$5M+ AUM target</w:t>
      </w:r>
    </w:p>
    <w:p>
      <w:pPr>
        <w:pStyle w:val="ListBullet"/>
      </w:pPr>
      <w:r>
        <w:t>Proprietary VIKING/UNO14 strategy suite deployment</w:t>
      </w:r>
    </w:p>
    <w:p>
      <w:pPr>
        <w:pStyle w:val="ListBullet"/>
      </w:pPr>
      <w:r>
        <w:t>Regulatory compliance framework for LATAM expansion</w:t>
      </w:r>
    </w:p>
    <w:p>
      <w:pPr>
        <w:pStyle w:val="Heading2"/>
      </w:pPr>
      <w:r>
        <w:rPr>
          <w:color w:val="0EA5E9"/>
        </w:rPr>
        <w:t>Five-Year Vision (2030)</w:t>
      </w:r>
    </w:p>
    <w:p>
      <w:pPr>
        <w:pStyle w:val="ListBullet"/>
      </w:pPr>
      <w:r>
        <w:t>$50M+ AUM across Latin America</w:t>
      </w:r>
    </w:p>
    <w:p>
      <w:pPr>
        <w:pStyle w:val="ListBullet"/>
      </w:pPr>
      <w:r>
        <w:t>50%+ of capital managed through internal algorithmic strategies</w:t>
      </w:r>
    </w:p>
    <w:p>
      <w:pPr>
        <w:pStyle w:val="ListBullet"/>
      </w:pPr>
      <w:r>
        <w:t>Fully automated, compliance-grade platform</w:t>
      </w:r>
    </w:p>
    <w:p>
      <w:pPr>
        <w:pStyle w:val="ListBullet"/>
      </w:pPr>
      <w:r>
        <w:t>Mobile-first distribution serving 50,000+ retail investors</w:t>
      </w:r>
    </w:p>
    <w:p>
      <w:pPr>
        <w:pStyle w:val="ListBullet"/>
      </w:pPr>
      <w:r>
        <w:t>FIDUS as the infrastructure layer for LATAM alternative investment distribution</w:t>
      </w:r>
    </w:p>
    <w:p>
      <w:r>
        <w:br w:type="page"/>
      </w:r>
    </w:p>
    <w:p>
      <w:pPr>
        <w:pStyle w:val="Heading1"/>
      </w:pPr>
      <w:r>
        <w:rPr>
          <w:color w:val="0A2F5C"/>
        </w:rPr>
        <w:t>9. Infrastructure Metrics &amp; Deployment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Metric</w:t>
            </w:r>
          </w:p>
        </w:tc>
        <w:tc>
          <w:tcPr>
            <w:tcW w:type="dxa" w:w="4703"/>
          </w:tcPr>
          <w:p>
            <w:r>
              <w:t>Value</w:t>
            </w:r>
          </w:p>
        </w:tc>
      </w:tr>
      <w:tr>
        <w:tc>
          <w:tcPr>
            <w:tcW w:type="dxa" w:w="4703"/>
          </w:tcPr>
          <w:p>
            <w:r>
              <w:t>Total Code Files</w:t>
            </w:r>
          </w:p>
        </w:tc>
        <w:tc>
          <w:tcPr>
            <w:tcW w:type="dxa" w:w="4703"/>
          </w:tcPr>
          <w:p>
            <w:r>
              <w:t>200+ React components, 30+ API route files</w:t>
            </w:r>
          </w:p>
        </w:tc>
      </w:tr>
      <w:tr>
        <w:tc>
          <w:tcPr>
            <w:tcW w:type="dxa" w:w="4703"/>
          </w:tcPr>
          <w:p>
            <w:r>
              <w:t>MongoDB Collections</w:t>
            </w:r>
          </w:p>
        </w:tc>
        <w:tc>
          <w:tcPr>
            <w:tcW w:type="dxa" w:w="4703"/>
          </w:tcPr>
          <w:p>
            <w:r>
              <w:t>40+ active collections</w:t>
            </w:r>
          </w:p>
        </w:tc>
      </w:tr>
      <w:tr>
        <w:tc>
          <w:tcPr>
            <w:tcW w:type="dxa" w:w="4703"/>
          </w:tcPr>
          <w:p>
            <w:r>
              <w:t>API Endpoints</w:t>
            </w:r>
          </w:p>
        </w:tc>
        <w:tc>
          <w:tcPr>
            <w:tcW w:type="dxa" w:w="4703"/>
          </w:tcPr>
          <w:p>
            <w:r>
              <w:t>150+ REST endpoints</w:t>
            </w:r>
          </w:p>
        </w:tc>
      </w:tr>
      <w:tr>
        <w:tc>
          <w:tcPr>
            <w:tcW w:type="dxa" w:w="4703"/>
          </w:tcPr>
          <w:p>
            <w:r>
              <w:t>Admin Dashboard Tabs</w:t>
            </w:r>
          </w:p>
        </w:tc>
        <w:tc>
          <w:tcPr>
            <w:tcW w:type="dxa" w:w="4703"/>
          </w:tcPr>
          <w:p>
            <w:r>
              <w:t>21 tabs with role-based access</w:t>
            </w:r>
          </w:p>
        </w:tc>
      </w:tr>
      <w:tr>
        <w:tc>
          <w:tcPr>
            <w:tcW w:type="dxa" w:w="4703"/>
          </w:tcPr>
          <w:p>
            <w:r>
              <w:t>Risk Framework Sub-Tabs</w:t>
            </w:r>
          </w:p>
        </w:tc>
        <w:tc>
          <w:tcPr>
            <w:tcW w:type="dxa" w:w="4703"/>
          </w:tcPr>
          <w:p>
            <w:r>
              <w:t>6 (Hull Framework, Policy, Calendar, Sizing, Stress, Compliance)</w:t>
            </w:r>
          </w:p>
        </w:tc>
      </w:tr>
      <w:tr>
        <w:tc>
          <w:tcPr>
            <w:tcW w:type="dxa" w:w="4703"/>
          </w:tcPr>
          <w:p>
            <w:r>
              <w:t>Monitored Accounts</w:t>
            </w:r>
          </w:p>
        </w:tc>
        <w:tc>
          <w:tcPr>
            <w:tcW w:type="dxa" w:w="4703"/>
          </w:tcPr>
          <w:p>
            <w:r>
              <w:t>11 (3 real + 8 demo)</w:t>
            </w:r>
          </w:p>
        </w:tc>
      </w:tr>
      <w:tr>
        <w:tc>
          <w:tcPr>
            <w:tcW w:type="dxa" w:w="4703"/>
          </w:tcPr>
          <w:p>
            <w:r>
              <w:t>Prohibited Calendar Events</w:t>
            </w:r>
          </w:p>
        </w:tc>
        <w:tc>
          <w:tcPr>
            <w:tcW w:type="dxa" w:w="4703"/>
          </w:tcPr>
          <w:p>
            <w:r>
              <w:t>49 for 2026</w:t>
            </w:r>
          </w:p>
        </w:tc>
      </w:tr>
      <w:tr>
        <w:tc>
          <w:tcPr>
            <w:tcW w:type="dxa" w:w="4703"/>
          </w:tcPr>
          <w:p>
            <w:r>
              <w:t>Stress Test Scenarios</w:t>
            </w:r>
          </w:p>
        </w:tc>
        <w:tc>
          <w:tcPr>
            <w:tcW w:type="dxa" w:w="4703"/>
          </w:tcPr>
          <w:p>
            <w:r>
              <w:t>8 institutional scenarios</w:t>
            </w:r>
          </w:p>
        </w:tc>
      </w:tr>
      <w:tr>
        <w:tc>
          <w:tcPr>
            <w:tcW w:type="dxa" w:w="4703"/>
          </w:tcPr>
          <w:p>
            <w:r>
              <w:t>Alert Channels</w:t>
            </w:r>
          </w:p>
        </w:tc>
        <w:tc>
          <w:tcPr>
            <w:tcW w:type="dxa" w:w="4703"/>
          </w:tcPr>
          <w:p>
            <w:r>
              <w:t>2 (Email + Telegram)</w:t>
            </w:r>
          </w:p>
        </w:tc>
      </w:tr>
      <w:tr>
        <w:tc>
          <w:tcPr>
            <w:tcW w:type="dxa" w:w="4703"/>
          </w:tcPr>
          <w:p>
            <w:r>
              <w:t>Portal Types</w:t>
            </w:r>
          </w:p>
        </w:tc>
        <w:tc>
          <w:tcPr>
            <w:tcW w:type="dxa" w:w="4703"/>
          </w:tcPr>
          <w:p>
            <w:r>
              <w:t>6 (Admin, Client, Manager, Franchise, Retail, Risk Management)</w:t>
            </w:r>
          </w:p>
        </w:tc>
      </w:tr>
      <w:tr>
        <w:tc>
          <w:tcPr>
            <w:tcW w:type="dxa" w:w="4703"/>
          </w:tcPr>
          <w:p>
            <w:r>
              <w:t>Language Support</w:t>
            </w:r>
          </w:p>
        </w:tc>
        <w:tc>
          <w:tcPr>
            <w:tcW w:type="dxa" w:w="4703"/>
          </w:tcPr>
          <w:p>
            <w:r>
              <w:t>English + Spanish (Retail)</w:t>
            </w:r>
          </w:p>
        </w:tc>
      </w:tr>
      <w:tr>
        <w:tc>
          <w:tcPr>
            <w:tcW w:type="dxa" w:w="4703"/>
          </w:tcPr>
          <w:p>
            <w:r>
              <w:t>Deployment</w:t>
            </w:r>
          </w:p>
        </w:tc>
        <w:tc>
          <w:tcPr>
            <w:tcW w:type="dxa" w:w="4703"/>
          </w:tcPr>
          <w:p>
            <w:r>
              <w:t>Render (production) + Emergent (preview)</w:t>
            </w:r>
          </w:p>
        </w:tc>
      </w:tr>
      <w:tr>
        <w:tc>
          <w:tcPr>
            <w:tcW w:type="dxa" w:w="4703"/>
          </w:tcPr>
          <w:p>
            <w:r>
              <w:t>Uptime Target</w:t>
            </w:r>
          </w:p>
        </w:tc>
        <w:tc>
          <w:tcPr>
            <w:tcW w:type="dxa" w:w="4703"/>
          </w:tcPr>
          <w:p>
            <w:r>
              <w:t>99.9% (Render + MongoDB Atlas)</w:t>
            </w:r>
          </w:p>
        </w:tc>
      </w:tr>
    </w:tbl>
    <w:p/>
    <w:p/>
    <w:p>
      <w:pPr>
        <w:jc w:val="center"/>
      </w:pPr>
      <w:r>
        <w:rPr>
          <w:b/>
          <w:sz w:val="24"/>
        </w:rPr>
        <w:t>— END OF DOCUMENT —</w:t>
      </w:r>
    </w:p>
    <w:p/>
    <w:p>
      <w:r>
        <w:t>Prepared for: FIDUS Investment Management Board</w:t>
      </w:r>
    </w:p>
    <w:p>
      <w:r>
        <w:t>Classification: CONFIDENTIAL</w:t>
      </w:r>
    </w:p>
    <w:p>
      <w:r>
        <w:t>Date: March 2026</w:t>
      </w:r>
    </w:p>
    <w:p>
      <w:r>
        <w:t>Author: Salvador "Chava" Palma Rubin de Celis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