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1B2A4A"/>
          <w:sz w:val="24"/>
          <w:szCs w:val="24"/>
        </w:rPr>
        <w:t xml:space="preserve">FIDUS INVESTMENT MANAGEMENT</w:t>
      </w:r>
    </w:p>
    <w:p>
      <w:pPr>
        <w:spacing w:before="0" w:after="300"/>
      </w:pPr>
      <w:r>
        <w:rPr>
          <w:rFonts w:ascii="Arial" w:cs="Arial" w:eastAsia="Arial" w:hAnsi="Arial"/>
          <w:i/>
          <w:iCs/>
          <w:color w:val="4A4A4A"/>
          <w:sz w:val="20"/>
          <w:szCs w:val="20"/>
        </w:rPr>
        <w:t xml:space="preserve">Av. Paseo de la Reforma  |  Ciudad de México, CDMX  |  Mexico</w:t>
      </w:r>
    </w:p>
    <w:p>
      <w:pPr>
        <w:pBdr>
          <w:bottom w:val="single" w:color="1B2A4A" w:sz="4"/>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val="false"/>
                <w:bCs w:val="false"/>
                <w:color w:val="4A4A4A"/>
                <w:sz w:val="21"/>
                <w:szCs w:val="21"/>
              </w:rPr>
              <w:t xml:space="preserve">DATE:</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pPr>
              <w:jc w:val="right"/>
            </w:pPr>
            <w:r>
              <w:rPr>
                <w:rFonts w:ascii="Arial" w:cs="Arial" w:eastAsia="Arial" w:hAnsi="Arial"/>
                <w:b w:val="false"/>
                <w:bCs w:val="false"/>
                <w:color w:val="1B2A4A"/>
                <w:sz w:val="21"/>
                <w:szCs w:val="21"/>
              </w:rPr>
              <w:t xml:space="preserve">March 18,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val="false"/>
                <w:bCs w:val="false"/>
                <w:color w:val="4A4A4A"/>
                <w:sz w:val="21"/>
                <w:szCs w:val="21"/>
              </w:rPr>
              <w:t xml:space="preserve">TO:</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pPr>
              <w:jc w:val="right"/>
            </w:pPr>
            <w:r>
              <w:rPr>
                <w:rFonts w:ascii="Arial" w:cs="Arial" w:eastAsia="Arial" w:hAnsi="Arial"/>
                <w:b w:val="false"/>
                <w:bCs w:val="false"/>
                <w:color w:val="1B2A4A"/>
                <w:sz w:val="21"/>
                <w:szCs w:val="21"/>
              </w:rPr>
              <w:t xml:space="preserve">LUCRUM Capital — Broker Operations &amp; Risk Management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val="false"/>
                <w:bCs w:val="false"/>
                <w:color w:val="4A4A4A"/>
                <w:sz w:val="21"/>
                <w:szCs w:val="21"/>
              </w:rPr>
              <w:t xml:space="preserve">FROM:</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pPr>
              <w:jc w:val="right"/>
            </w:pPr>
            <w:r>
              <w:rPr>
                <w:rFonts w:ascii="Arial" w:cs="Arial" w:eastAsia="Arial" w:hAnsi="Arial"/>
                <w:b w:val="false"/>
                <w:bCs w:val="false"/>
                <w:color w:val="1B2A4A"/>
                <w:sz w:val="21"/>
                <w:szCs w:val="21"/>
              </w:rPr>
              <w:t xml:space="preserve">FIDUS Investment Management — Risk &amp; Compliance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val="false"/>
                <w:bCs w:val="false"/>
                <w:color w:val="4A4A4A"/>
                <w:sz w:val="21"/>
                <w:szCs w:val="21"/>
              </w:rPr>
              <w:t xml:space="preserve">RE:</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pPr>
              <w:jc w:val="right"/>
            </w:pPr>
            <w:r>
              <w:rPr>
                <w:rFonts w:ascii="Arial" w:cs="Arial" w:eastAsia="Arial" w:hAnsi="Arial"/>
                <w:b w:val="false"/>
                <w:bCs w:val="false"/>
                <w:color w:val="1B2A4A"/>
                <w:sz w:val="21"/>
                <w:szCs w:val="21"/>
              </w:rPr>
              <w:t xml:space="preserve">MANDATORY BROKER BREAK SWITCH CONFIGURATION — LAYER 3 RISK CONTROL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val="false"/>
                <w:bCs w:val="false"/>
                <w:color w:val="4A4A4A"/>
                <w:sz w:val="21"/>
                <w:szCs w:val="21"/>
              </w:rPr>
              <w:t xml:space="preserve">PRIORITY:</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pPr>
              <w:jc w:val="right"/>
            </w:pPr>
            <w:r>
              <w:rPr>
                <w:rFonts w:ascii="Arial" w:cs="Arial" w:eastAsia="Arial" w:hAnsi="Arial"/>
                <w:b w:val="false"/>
                <w:bCs w:val="false"/>
                <w:color w:val="1B2A4A"/>
                <w:sz w:val="21"/>
                <w:szCs w:val="21"/>
              </w:rPr>
              <w:t xml:space="preserve">URGENT — Action Required Before Next Trading Session</w:t>
            </w:r>
          </w:p>
        </w:tc>
      </w:tr>
    </w:tbl>
    <w:p>
      <w:pPr>
        <w:spacing w:before="80" w:after="0"/>
      </w:pPr>
    </w:p>
    <w:p>
      <w:pPr>
        <w:pBdr>
          <w:bottom w:val="single" w:color="1B2A4A" w:sz="4"/>
        </w:pBdr>
        <w:spacing w:before="200" w:after="200"/>
      </w:pPr>
    </w:p>
    <w:p>
      <w:pPr>
        <w:spacing w:before="80" w:after="0"/>
      </w:pPr>
    </w:p>
    <w:p>
      <w:pPr>
        <w:spacing w:before="280" w:after="120"/>
      </w:pPr>
      <w:r>
        <w:rPr>
          <w:rFonts w:ascii="Arial" w:cs="Arial" w:eastAsia="Arial" w:hAnsi="Arial"/>
          <w:b/>
          <w:bCs/>
          <w:color w:val="1B2A4A"/>
          <w:sz w:val="28"/>
          <w:szCs w:val="28"/>
        </w:rPr>
        <w:t xml:space="preserve">1. PURPOSE OF THIS MEMORANDUM</w:t>
      </w:r>
    </w:p>
    <w:p>
      <w:pPr>
        <w:spacing w:before="60" w:after="100"/>
        <w:jc w:val="left"/>
      </w:pPr>
      <w:r>
        <w:rPr>
          <w:rFonts w:ascii="Arial" w:cs="Arial" w:eastAsia="Arial" w:hAnsi="Arial"/>
          <w:b w:val="false"/>
          <w:bCs w:val="false"/>
          <w:i w:val="false"/>
          <w:iCs w:val="false"/>
          <w:color w:val="4A4A4A"/>
          <w:sz w:val="22"/>
          <w:szCs w:val="22"/>
        </w:rPr>
        <w:t xml:space="preserve">This memorandum formally defines FIDUS Investment Management's requirements for the broker-level break switch configuration on all managed accounts at LUCRUM. It supersedes any prior verbal or informal instruction. All settings specified herein are mandatory and must be confirmed in writing by LUCRUM's operations team.</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E2" w:val="clear"/>
            <w:tcMar>
              <w:top w:type="dxa" w:w="100"/>
              <w:left w:type="dxa" w:w="180"/>
              <w:bottom w:type="dxa" w:w="100"/>
              <w:right w:type="dxa" w:w="180"/>
            </w:tcMar>
          </w:tcPr>
          <w:p>
            <w:r>
              <w:rPr>
                <w:rFonts w:ascii="Arial" w:cs="Arial" w:eastAsia="Arial" w:hAnsi="Arial"/>
                <w:b/>
                <w:bCs/>
                <w:color w:val="D4500A"/>
                <w:sz w:val="22"/>
                <w:szCs w:val="22"/>
              </w:rPr>
              <w:t xml:space="preserve">  IMPORTANT CONTEXT: The broker break switch is designated as LAYER 3 — the last line of defense only. FIDUS now operates primary risk controls at the copy-trading level (Layer 1) and platform monitoring level (Layer 2). The broker break switch must never be treated as, or relied upon as, the primary risk control.</w:t>
            </w:r>
          </w:p>
        </w:tc>
      </w:tr>
    </w:tbl>
    <w:p>
      <w:pPr>
        <w:spacing w:before="120" w:after="0"/>
      </w:pPr>
    </w:p>
    <w:p>
      <w:pPr>
        <w:spacing w:before="280" w:after="120"/>
      </w:pPr>
      <w:r>
        <w:rPr>
          <w:rFonts w:ascii="Arial" w:cs="Arial" w:eastAsia="Arial" w:hAnsi="Arial"/>
          <w:b/>
          <w:bCs/>
          <w:color w:val="1B2A4A"/>
          <w:sz w:val="28"/>
          <w:szCs w:val="28"/>
        </w:rPr>
        <w:t xml:space="preserve">2. INCIDENT BACKGROUND</w:t>
      </w:r>
    </w:p>
    <w:p>
      <w:pPr>
        <w:spacing w:before="60" w:after="100"/>
        <w:jc w:val="left"/>
      </w:pPr>
      <w:r>
        <w:rPr>
          <w:rFonts w:ascii="Arial" w:cs="Arial" w:eastAsia="Arial" w:hAnsi="Arial"/>
          <w:b w:val="false"/>
          <w:bCs w:val="false"/>
          <w:i w:val="false"/>
          <w:iCs w:val="false"/>
          <w:color w:val="4A4A4A"/>
          <w:sz w:val="22"/>
          <w:szCs w:val="22"/>
        </w:rPr>
        <w:t xml:space="preserve">On March 18, 2026, FIDUS accounts experienced a combined loss of $59,790 (–14.68%) in a 82-second window due to uncontrolled GOLD (XAUUSD) exposure. A 10% break switch had been instructed for configuration on Account 2208. The switch did not activate. Drawdown reached –18.91% on that account without any broker-level halt.</w:t>
      </w:r>
    </w:p>
    <w:p>
      <w:pPr>
        <w:spacing w:before="60" w:after="0"/>
      </w:pPr>
    </w:p>
    <w:p>
      <w:pPr>
        <w:spacing w:before="60" w:after="100"/>
        <w:jc w:val="left"/>
      </w:pPr>
      <w:r>
        <w:rPr>
          <w:rFonts w:ascii="Arial" w:cs="Arial" w:eastAsia="Arial" w:hAnsi="Arial"/>
          <w:b w:val="false"/>
          <w:bCs w:val="false"/>
          <w:i w:val="false"/>
          <w:iCs w:val="false"/>
          <w:color w:val="4A4A4A"/>
          <w:sz w:val="22"/>
          <w:szCs w:val="22"/>
        </w:rPr>
        <w:t xml:space="preserve">FIDUS requires full transparency from LUCRUM regarding:</w:t>
      </w:r>
    </w:p>
    <w:p>
      <w:pPr>
        <w:spacing w:before="40" w:after="60"/>
        <w:ind w:left="720" w:hanging="360"/>
      </w:pPr>
      <w:r>
        <w:rPr>
          <w:rFonts w:ascii="Arial" w:cs="Arial" w:eastAsia="Arial" w:hAnsi="Arial"/>
          <w:b/>
          <w:bCs/>
          <w:color w:val="4A4A4A"/>
          <w:sz w:val="22"/>
          <w:szCs w:val="22"/>
        </w:rPr>
        <w:t xml:space="preserve">• </w:t>
      </w:r>
      <w:r>
        <w:rPr>
          <w:rFonts w:ascii="Arial" w:cs="Arial" w:eastAsia="Arial" w:hAnsi="Arial"/>
          <w:color w:val="4A4A4A"/>
          <w:sz w:val="22"/>
          <w:szCs w:val="22"/>
        </w:rPr>
        <w:t xml:space="preserve">Whether the break switch was in fact configured and active on March 18, 2026</w:t>
      </w:r>
    </w:p>
    <w:p>
      <w:pPr>
        <w:spacing w:before="40" w:after="60"/>
        <w:ind w:left="720" w:hanging="360"/>
      </w:pPr>
      <w:r>
        <w:rPr>
          <w:rFonts w:ascii="Arial" w:cs="Arial" w:eastAsia="Arial" w:hAnsi="Arial"/>
          <w:b/>
          <w:bCs/>
          <w:color w:val="4A4A4A"/>
          <w:sz w:val="22"/>
          <w:szCs w:val="22"/>
        </w:rPr>
        <w:t xml:space="preserve">• </w:t>
      </w:r>
      <w:r>
        <w:rPr>
          <w:rFonts w:ascii="Arial" w:cs="Arial" w:eastAsia="Arial" w:hAnsi="Arial"/>
          <w:color w:val="4A4A4A"/>
          <w:sz w:val="22"/>
          <w:szCs w:val="22"/>
        </w:rPr>
        <w:t xml:space="preserve">At what equity level the switch was set to trigger</w:t>
      </w:r>
    </w:p>
    <w:p>
      <w:pPr>
        <w:spacing w:before="40" w:after="60"/>
        <w:ind w:left="720" w:hanging="360"/>
      </w:pPr>
      <w:r>
        <w:rPr>
          <w:rFonts w:ascii="Arial" w:cs="Arial" w:eastAsia="Arial" w:hAnsi="Arial"/>
          <w:b/>
          <w:bCs/>
          <w:color w:val="4A4A4A"/>
          <w:sz w:val="22"/>
          <w:szCs w:val="22"/>
        </w:rPr>
        <w:t xml:space="preserve">• </w:t>
      </w:r>
      <w:r>
        <w:rPr>
          <w:rFonts w:ascii="Arial" w:cs="Arial" w:eastAsia="Arial" w:hAnsi="Arial"/>
          <w:color w:val="4A4A4A"/>
          <w:sz w:val="22"/>
          <w:szCs w:val="22"/>
        </w:rPr>
        <w:t xml:space="preserve">The audit log of all account activity on 2208, 2206, and 20043 on March 18</w:t>
      </w:r>
    </w:p>
    <w:p>
      <w:pPr>
        <w:spacing w:before="40" w:after="60"/>
        <w:ind w:left="720" w:hanging="360"/>
      </w:pPr>
      <w:r>
        <w:rPr>
          <w:rFonts w:ascii="Arial" w:cs="Arial" w:eastAsia="Arial" w:hAnsi="Arial"/>
          <w:b/>
          <w:bCs/>
          <w:color w:val="4A4A4A"/>
          <w:sz w:val="22"/>
          <w:szCs w:val="22"/>
        </w:rPr>
        <w:t xml:space="preserve">• </w:t>
      </w:r>
      <w:r>
        <w:rPr>
          <w:rFonts w:ascii="Arial" w:cs="Arial" w:eastAsia="Arial" w:hAnsi="Arial"/>
          <w:color w:val="4A4A4A"/>
          <w:sz w:val="22"/>
          <w:szCs w:val="22"/>
        </w:rPr>
        <w:t xml:space="preserve">Why the break switch did not fire when drawdown exceeded 10%</w:t>
      </w:r>
    </w:p>
    <w:p>
      <w:pPr>
        <w:spacing w:before="120" w:after="0"/>
      </w:pPr>
    </w:p>
    <w:p>
      <w:pPr>
        <w:spacing w:before="280" w:after="120"/>
      </w:pPr>
      <w:r>
        <w:rPr>
          <w:rFonts w:ascii="Arial" w:cs="Arial" w:eastAsia="Arial" w:hAnsi="Arial"/>
          <w:b/>
          <w:bCs/>
          <w:color w:val="1B2A4A"/>
          <w:sz w:val="28"/>
          <w:szCs w:val="28"/>
        </w:rPr>
        <w:t xml:space="preserve">3. MANDATORY BREAK SWITCH CONFIGURATION — ALL ACCOUNTS</w:t>
      </w:r>
    </w:p>
    <w:p>
      <w:pPr>
        <w:spacing w:before="60" w:after="100"/>
        <w:jc w:val="left"/>
      </w:pPr>
      <w:r>
        <w:rPr>
          <w:rFonts w:ascii="Arial" w:cs="Arial" w:eastAsia="Arial" w:hAnsi="Arial"/>
          <w:b w:val="false"/>
          <w:bCs w:val="false"/>
          <w:i w:val="false"/>
          <w:iCs w:val="false"/>
          <w:color w:val="4A4A4A"/>
          <w:sz w:val="22"/>
          <w:szCs w:val="22"/>
        </w:rPr>
        <w:t xml:space="preserve">LUCRUM must configure and validate the following break switch settings for all FIDUS-managed accounts: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400"/>
        <w:gridCol w:w="2200"/>
        <w:gridCol w:w="19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Account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Manager</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Break Switch Level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Action Required</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Confirmation Required</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19"/>
                <w:szCs w:val="19"/>
              </w:rPr>
              <w:t xml:space="preserve">2208</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19"/>
                <w:szCs w:val="19"/>
              </w:rPr>
              <w:t xml:space="preserve">JOSE GOLD DAY-TRADE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19"/>
                <w:szCs w:val="19"/>
              </w:rPr>
              <w:t xml:space="preserve">8% drawdown from initial allocation ($50,000)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19"/>
                <w:szCs w:val="19"/>
              </w:rPr>
              <w:t xml:space="preserve">Halt all trading, disable MAM copying</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19"/>
                <w:szCs w:val="19"/>
              </w:rPr>
              <w:t xml:space="preserve">Written confirmation with screenshot</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color w:val="4A4A4A"/>
                <w:sz w:val="19"/>
                <w:szCs w:val="19"/>
              </w:rPr>
              <w:t xml:space="preserve">2206</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color w:val="4A4A4A"/>
                <w:sz w:val="19"/>
                <w:szCs w:val="19"/>
              </w:rPr>
              <w:t xml:space="preserve">JC PROVIDER</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color w:val="4A4A4A"/>
                <w:sz w:val="19"/>
                <w:szCs w:val="19"/>
              </w:rPr>
              <w:t xml:space="preserve">8% drawdown from initial allocation ($179,316)</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color w:val="4A4A4A"/>
                <w:sz w:val="19"/>
                <w:szCs w:val="19"/>
              </w:rPr>
              <w:t xml:space="preserve">Halt all trading, disable MAM copying</w:t>
            </w:r>
          </w:p>
        </w:tc>
        <w:tc>
          <w:tcPr>
            <w:tcW w:type="dxa" w:w="1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color w:val="4A4A4A"/>
                <w:sz w:val="19"/>
                <w:szCs w:val="19"/>
              </w:rPr>
              <w:t xml:space="preserve">Written confirmation with screenshot</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19"/>
                <w:szCs w:val="19"/>
              </w:rPr>
              <w:t xml:space="preserve">20043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19"/>
                <w:szCs w:val="19"/>
              </w:rPr>
              <w:t xml:space="preserve">JARED COPIA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19"/>
                <w:szCs w:val="19"/>
              </w:rPr>
              <w:t xml:space="preserve">8% drawdown from initial allocation ($178,000)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19"/>
                <w:szCs w:val="19"/>
              </w:rPr>
              <w:t xml:space="preserve">Halt all trading, disable MAM copying</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19"/>
                <w:szCs w:val="19"/>
              </w:rPr>
              <w:t xml:space="preserve">Written confirmation with screenshot</w:t>
            </w:r>
          </w:p>
        </w:tc>
      </w:tr>
    </w:tbl>
    <w:p>
      <w:pPr>
        <w:spacing w:before="80" w:after="0"/>
      </w:pPr>
    </w:p>
    <w:p>
      <w:pPr>
        <w:spacing w:before="60" w:after="100"/>
        <w:jc w:val="left"/>
      </w:pPr>
      <w:r>
        <w:rPr>
          <w:rFonts w:ascii="Arial" w:cs="Arial" w:eastAsia="Arial" w:hAnsi="Arial"/>
          <w:b w:val="false"/>
          <w:bCs w:val="false"/>
          <w:i/>
          <w:iCs/>
          <w:color w:val="4A4A4A"/>
          <w:sz w:val="22"/>
          <w:szCs w:val="22"/>
        </w:rPr>
        <w:t xml:space="preserve">NOTE: Break switch threshold is set at 8% — providing a 3% safety margin above FIDUS's internal 5% hard stop (Layer 1). It should never be needed in normal operations. If it activates, Layer 1 has already failed.</w:t>
      </w:r>
    </w:p>
    <w:p>
      <w:pPr>
        <w:spacing w:before="120" w:after="0"/>
      </w:pPr>
    </w:p>
    <w:p>
      <w:pPr>
        <w:spacing w:before="280" w:after="120"/>
      </w:pPr>
      <w:r>
        <w:rPr>
          <w:rFonts w:ascii="Arial" w:cs="Arial" w:eastAsia="Arial" w:hAnsi="Arial"/>
          <w:b/>
          <w:bCs/>
          <w:color w:val="1B2A4A"/>
          <w:sz w:val="28"/>
          <w:szCs w:val="28"/>
        </w:rPr>
        <w:t xml:space="preserve">4. GOLD (XAUUSD) POSITION LIMITS</w:t>
      </w:r>
    </w:p>
    <w:p>
      <w:pPr>
        <w:spacing w:before="60" w:after="100"/>
        <w:jc w:val="left"/>
      </w:pPr>
      <w:r>
        <w:rPr>
          <w:rFonts w:ascii="Arial" w:cs="Arial" w:eastAsia="Arial" w:hAnsi="Arial"/>
          <w:b w:val="false"/>
          <w:bCs w:val="false"/>
          <w:i w:val="false"/>
          <w:iCs w:val="false"/>
          <w:color w:val="4A4A4A"/>
          <w:sz w:val="22"/>
          <w:szCs w:val="22"/>
        </w:rPr>
        <w:t xml:space="preserve">Given the incident of March 18, the following GOLD-specific limits must be enforced at broker level for all FIDUS accounts: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Parameter</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Limit</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19"/>
                <w:szCs w:val="19"/>
              </w:rPr>
              <w:t xml:space="preserve">Max lot size — GOLD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19"/>
                <w:szCs w:val="19"/>
              </w:rPr>
              <w:t xml:space="preserve">0.30 lots per $100k equity</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19"/>
                <w:szCs w:val="19"/>
              </w:rPr>
              <w:t xml:space="preserve">Scale proportionally to account equity</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color w:val="4A4A4A"/>
                <w:sz w:val="19"/>
                <w:szCs w:val="19"/>
              </w:rPr>
              <w:t xml:space="preserve">Max concurrent trades</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color w:val="4A4A4A"/>
                <w:sz w:val="19"/>
                <w:szCs w:val="19"/>
              </w:rPr>
              <w:t xml:space="preserve">3 open GOLD positions per account</w:t>
            </w:r>
          </w:p>
        </w:tc>
        <w:tc>
          <w:tcPr>
            <w:tcW w:type="dxa" w:w="4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color w:val="4A4A4A"/>
                <w:sz w:val="19"/>
                <w:szCs w:val="19"/>
              </w:rPr>
              <w:t xml:space="preserve">Hard cap — reject additional orders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19"/>
                <w:szCs w:val="19"/>
              </w:rPr>
              <w:t xml:space="preserve">Max single position size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19"/>
                <w:szCs w:val="19"/>
              </w:rPr>
              <w:t xml:space="preserve">1.0 lot absolute maximum</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19"/>
                <w:szCs w:val="19"/>
              </w:rPr>
              <w:t xml:space="preserve">Regardless of account size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color w:val="4A4A4A"/>
                <w:sz w:val="19"/>
                <w:szCs w:val="19"/>
              </w:rPr>
              <w:t xml:space="preserve">Overnight GOLD exposure</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color w:val="4A4A4A"/>
                <w:sz w:val="19"/>
                <w:szCs w:val="19"/>
              </w:rPr>
              <w:t xml:space="preserve">ZERO — all GOLD must close by 21:50 UTC</w:t>
            </w:r>
          </w:p>
        </w:tc>
        <w:tc>
          <w:tcPr>
            <w:tcW w:type="dxa" w:w="4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color w:val="4A4A4A"/>
                <w:sz w:val="19"/>
                <w:szCs w:val="19"/>
              </w:rPr>
              <w:t xml:space="preserve">No exceptions — intraday strategy only</w:t>
            </w:r>
          </w:p>
        </w:tc>
      </w:tr>
    </w:tbl>
    <w:p>
      <w:pPr>
        <w:spacing w:before="120" w:after="0"/>
      </w:pPr>
    </w:p>
    <w:p>
      <w:pPr>
        <w:spacing w:before="280" w:after="120"/>
      </w:pPr>
      <w:r>
        <w:rPr>
          <w:rFonts w:ascii="Arial" w:cs="Arial" w:eastAsia="Arial" w:hAnsi="Arial"/>
          <w:b/>
          <w:bCs/>
          <w:color w:val="1B2A4A"/>
          <w:sz w:val="28"/>
          <w:szCs w:val="28"/>
        </w:rPr>
        <w:t xml:space="preserve">5. CONFIGURATION VALIDATION REQUIREMENTS</w:t>
      </w:r>
    </w:p>
    <w:p>
      <w:pPr>
        <w:spacing w:before="60" w:after="100"/>
        <w:jc w:val="left"/>
      </w:pPr>
      <w:r>
        <w:rPr>
          <w:rFonts w:ascii="Arial" w:cs="Arial" w:eastAsia="Arial" w:hAnsi="Arial"/>
          <w:b w:val="false"/>
          <w:bCs w:val="false"/>
          <w:i w:val="false"/>
          <w:iCs w:val="false"/>
          <w:color w:val="4A4A4A"/>
          <w:sz w:val="22"/>
          <w:szCs w:val="22"/>
        </w:rPr>
        <w:t xml:space="preserve">FIDUS requires the following validation protocol to be followed for all break switch configurations:</w:t>
      </w:r>
    </w:p>
    <w:p>
      <w:pPr>
        <w:spacing w:before="60" w:after="0"/>
      </w:pPr>
    </w:p>
    <w:p>
      <w:pPr>
        <w:spacing w:before="280" w:after="120"/>
      </w:pPr>
      <w:r>
        <w:rPr>
          <w:rFonts w:ascii="Arial" w:cs="Arial" w:eastAsia="Arial" w:hAnsi="Arial"/>
          <w:b/>
          <w:bCs/>
          <w:color w:val="1B2A4A"/>
          <w:sz w:val="24"/>
          <w:szCs w:val="24"/>
        </w:rPr>
        <w:t xml:space="preserve">5.1 Initial Configuration</w:t>
      </w:r>
    </w:p>
    <w:p>
      <w:pPr>
        <w:spacing w:before="40" w:after="60"/>
        <w:ind w:left="720" w:hanging="360"/>
      </w:pPr>
      <w:r>
        <w:rPr>
          <w:rFonts w:ascii="Arial" w:cs="Arial" w:eastAsia="Arial" w:hAnsi="Arial"/>
          <w:b/>
          <w:bCs/>
          <w:color w:val="4A4A4A"/>
          <w:sz w:val="22"/>
          <w:szCs w:val="22"/>
        </w:rPr>
        <w:t xml:space="preserve">• </w:t>
      </w:r>
      <w:r>
        <w:rPr>
          <w:rFonts w:ascii="Arial" w:cs="Arial" w:eastAsia="Arial" w:hAnsi="Arial"/>
          <w:color w:val="4A4A4A"/>
          <w:sz w:val="22"/>
          <w:szCs w:val="22"/>
        </w:rPr>
        <w:t xml:space="preserve">Configuration must be performed by a named LUCRUM operations officer</w:t>
      </w:r>
    </w:p>
    <w:p>
      <w:pPr>
        <w:spacing w:before="40" w:after="60"/>
        <w:ind w:left="720" w:hanging="360"/>
      </w:pPr>
      <w:r>
        <w:rPr>
          <w:rFonts w:ascii="Arial" w:cs="Arial" w:eastAsia="Arial" w:hAnsi="Arial"/>
          <w:b/>
          <w:bCs/>
          <w:color w:val="4A4A4A"/>
          <w:sz w:val="22"/>
          <w:szCs w:val="22"/>
        </w:rPr>
        <w:t xml:space="preserve">• </w:t>
      </w:r>
      <w:r>
        <w:rPr>
          <w:rFonts w:ascii="Arial" w:cs="Arial" w:eastAsia="Arial" w:hAnsi="Arial"/>
          <w:color w:val="4A4A4A"/>
          <w:sz w:val="22"/>
          <w:szCs w:val="22"/>
        </w:rPr>
        <w:t xml:space="preserve">Screenshot of the configured break switch settings must be provided to FIDUS within 24 hours</w:t>
      </w:r>
    </w:p>
    <w:p>
      <w:pPr>
        <w:spacing w:before="40" w:after="60"/>
        <w:ind w:left="720" w:hanging="360"/>
      </w:pPr>
      <w:r>
        <w:rPr>
          <w:rFonts w:ascii="Arial" w:cs="Arial" w:eastAsia="Arial" w:hAnsi="Arial"/>
          <w:b/>
          <w:bCs/>
          <w:color w:val="4A4A4A"/>
          <w:sz w:val="22"/>
          <w:szCs w:val="22"/>
        </w:rPr>
        <w:t xml:space="preserve">• </w:t>
      </w:r>
      <w:r>
        <w:rPr>
          <w:rFonts w:ascii="Arial" w:cs="Arial" w:eastAsia="Arial" w:hAnsi="Arial"/>
          <w:color w:val="4A4A4A"/>
          <w:sz w:val="22"/>
          <w:szCs w:val="22"/>
        </w:rPr>
        <w:t xml:space="preserve">Confirmation email must include: account number, trigger level, action on trigger, configured date/time, officer name</w:t>
      </w:r>
    </w:p>
    <w:p>
      <w:pPr>
        <w:spacing w:before="60" w:after="0"/>
      </w:pPr>
    </w:p>
    <w:p>
      <w:pPr>
        <w:spacing w:before="280" w:after="120"/>
      </w:pPr>
      <w:r>
        <w:rPr>
          <w:rFonts w:ascii="Arial" w:cs="Arial" w:eastAsia="Arial" w:hAnsi="Arial"/>
          <w:b/>
          <w:bCs/>
          <w:color w:val="1B2A4A"/>
          <w:sz w:val="24"/>
          <w:szCs w:val="24"/>
        </w:rPr>
        <w:t xml:space="preserve">5.2 Quarterly Validation</w:t>
      </w:r>
    </w:p>
    <w:p>
      <w:pPr>
        <w:spacing w:before="40" w:after="60"/>
        <w:ind w:left="720" w:hanging="360"/>
      </w:pPr>
      <w:r>
        <w:rPr>
          <w:rFonts w:ascii="Arial" w:cs="Arial" w:eastAsia="Arial" w:hAnsi="Arial"/>
          <w:b/>
          <w:bCs/>
          <w:color w:val="4A4A4A"/>
          <w:sz w:val="22"/>
          <w:szCs w:val="22"/>
        </w:rPr>
        <w:t xml:space="preserve">• </w:t>
      </w:r>
      <w:r>
        <w:rPr>
          <w:rFonts w:ascii="Arial" w:cs="Arial" w:eastAsia="Arial" w:hAnsi="Arial"/>
          <w:color w:val="4A4A4A"/>
          <w:sz w:val="22"/>
          <w:szCs w:val="22"/>
        </w:rPr>
        <w:t xml:space="preserve">Break switch settings must be revalidated every quarter</w:t>
      </w:r>
    </w:p>
    <w:p>
      <w:pPr>
        <w:spacing w:before="40" w:after="60"/>
        <w:ind w:left="720" w:hanging="360"/>
      </w:pPr>
      <w:r>
        <w:rPr>
          <w:rFonts w:ascii="Arial" w:cs="Arial" w:eastAsia="Arial" w:hAnsi="Arial"/>
          <w:b/>
          <w:bCs/>
          <w:color w:val="4A4A4A"/>
          <w:sz w:val="22"/>
          <w:szCs w:val="22"/>
        </w:rPr>
        <w:t xml:space="preserve">• </w:t>
      </w:r>
      <w:r>
        <w:rPr>
          <w:rFonts w:ascii="Arial" w:cs="Arial" w:eastAsia="Arial" w:hAnsi="Arial"/>
          <w:color w:val="4A4A4A"/>
          <w:sz w:val="22"/>
          <w:szCs w:val="22"/>
        </w:rPr>
        <w:t xml:space="preserve">LUCRUM must provide a written confirmation at the start of each quarter confirming settings are active</w:t>
      </w:r>
    </w:p>
    <w:p>
      <w:pPr>
        <w:spacing w:before="40" w:after="60"/>
        <w:ind w:left="720" w:hanging="360"/>
      </w:pPr>
      <w:r>
        <w:rPr>
          <w:rFonts w:ascii="Arial" w:cs="Arial" w:eastAsia="Arial" w:hAnsi="Arial"/>
          <w:b/>
          <w:bCs/>
          <w:color w:val="4A4A4A"/>
          <w:sz w:val="22"/>
          <w:szCs w:val="22"/>
        </w:rPr>
        <w:t xml:space="preserve">• </w:t>
      </w:r>
      <w:r>
        <w:rPr>
          <w:rFonts w:ascii="Arial" w:cs="Arial" w:eastAsia="Arial" w:hAnsi="Arial"/>
          <w:color w:val="4A4A4A"/>
          <w:sz w:val="22"/>
          <w:szCs w:val="22"/>
        </w:rPr>
        <w:t xml:space="preserve">Any change to break switch settings must be communicated to FIDUS in advance and confirmed in writing</w:t>
      </w:r>
    </w:p>
    <w:p>
      <w:pPr>
        <w:spacing w:before="60" w:after="0"/>
      </w:pPr>
    </w:p>
    <w:p>
      <w:pPr>
        <w:spacing w:before="280" w:after="120"/>
      </w:pPr>
      <w:r>
        <w:rPr>
          <w:rFonts w:ascii="Arial" w:cs="Arial" w:eastAsia="Arial" w:hAnsi="Arial"/>
          <w:b/>
          <w:bCs/>
          <w:color w:val="1B2A4A"/>
          <w:sz w:val="24"/>
          <w:szCs w:val="24"/>
        </w:rPr>
        <w:t xml:space="preserve">5.3 Incident Reporting</w:t>
      </w:r>
    </w:p>
    <w:p>
      <w:pPr>
        <w:spacing w:before="40" w:after="60"/>
        <w:ind w:left="720" w:hanging="360"/>
      </w:pPr>
      <w:r>
        <w:rPr>
          <w:rFonts w:ascii="Arial" w:cs="Arial" w:eastAsia="Arial" w:hAnsi="Arial"/>
          <w:b/>
          <w:bCs/>
          <w:color w:val="4A4A4A"/>
          <w:sz w:val="22"/>
          <w:szCs w:val="22"/>
        </w:rPr>
        <w:t xml:space="preserve">• </w:t>
      </w:r>
      <w:r>
        <w:rPr>
          <w:rFonts w:ascii="Arial" w:cs="Arial" w:eastAsia="Arial" w:hAnsi="Arial"/>
          <w:color w:val="4A4A4A"/>
          <w:sz w:val="22"/>
          <w:szCs w:val="22"/>
        </w:rPr>
        <w:t xml:space="preserve">If a break switch activates, LUCRUM must notify FIDUS within 15 minutes via phone and email</w:t>
      </w:r>
    </w:p>
    <w:p>
      <w:pPr>
        <w:spacing w:before="40" w:after="60"/>
        <w:ind w:left="720" w:hanging="360"/>
      </w:pPr>
      <w:r>
        <w:rPr>
          <w:rFonts w:ascii="Arial" w:cs="Arial" w:eastAsia="Arial" w:hAnsi="Arial"/>
          <w:b/>
          <w:bCs/>
          <w:color w:val="4A4A4A"/>
          <w:sz w:val="22"/>
          <w:szCs w:val="22"/>
        </w:rPr>
        <w:t xml:space="preserve">• </w:t>
      </w:r>
      <w:r>
        <w:rPr>
          <w:rFonts w:ascii="Arial" w:cs="Arial" w:eastAsia="Arial" w:hAnsi="Arial"/>
          <w:color w:val="4A4A4A"/>
          <w:sz w:val="22"/>
          <w:szCs w:val="22"/>
        </w:rPr>
        <w:t xml:space="preserve">A written incident report must be provided to FIDUS within 24 hours of any break switch activation</w:t>
      </w:r>
    </w:p>
    <w:p>
      <w:pPr>
        <w:spacing w:before="40" w:after="60"/>
        <w:ind w:left="720" w:hanging="360"/>
      </w:pPr>
      <w:r>
        <w:rPr>
          <w:rFonts w:ascii="Arial" w:cs="Arial" w:eastAsia="Arial" w:hAnsi="Arial"/>
          <w:b/>
          <w:bCs/>
          <w:color w:val="4A4A4A"/>
          <w:sz w:val="22"/>
          <w:szCs w:val="22"/>
        </w:rPr>
        <w:t xml:space="preserve">• </w:t>
      </w:r>
      <w:r>
        <w:rPr>
          <w:rFonts w:ascii="Arial" w:cs="Arial" w:eastAsia="Arial" w:hAnsi="Arial"/>
          <w:color w:val="4A4A4A"/>
          <w:sz w:val="22"/>
          <w:szCs w:val="22"/>
        </w:rPr>
        <w:t xml:space="preserve">If a break switch fails to activate at the configured threshold, LUCRUM accepts full liability for losses exceeding the threshold</w:t>
      </w:r>
    </w:p>
    <w:p>
      <w:pPr>
        <w:spacing w:before="120" w:after="0"/>
      </w:pPr>
    </w:p>
    <w:p>
      <w:pPr>
        <w:spacing w:before="280" w:after="120"/>
      </w:pPr>
      <w:r>
        <w:rPr>
          <w:rFonts w:ascii="Arial" w:cs="Arial" w:eastAsia="Arial" w:hAnsi="Arial"/>
          <w:b/>
          <w:bCs/>
          <w:color w:val="1B2A4A"/>
          <w:sz w:val="28"/>
          <w:szCs w:val="28"/>
        </w:rPr>
        <w:t xml:space="preserve">6. ACTIONS REQUIRED FROM LUCRUM — MARCH 18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00"/>
              <w:left w:type="dxa" w:w="180"/>
              <w:bottom w:type="dxa" w:w="100"/>
              <w:right w:type="dxa" w:w="180"/>
            </w:tcMar>
          </w:tcPr>
          <w:p>
            <w:r>
              <w:rPr>
                <w:rFonts w:ascii="Arial" w:cs="Arial" w:eastAsia="Arial" w:hAnsi="Arial"/>
                <w:b/>
                <w:bCs/>
                <w:color w:val="C0392B"/>
                <w:sz w:val="22"/>
                <w:szCs w:val="22"/>
              </w:rPr>
              <w:t xml:space="preserve">  These items are required as a condition of continued account management at LUCRUM.</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560"/>
        <w:gridCol w:w="1400"/>
      </w:tblGrid>
      <w:tr>
        <w:trPr>
          <w:tblHeader/>
        </w:trP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 Action</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Deadline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19"/>
                <w:szCs w:val="19"/>
              </w:rPr>
              <w:t xml:space="preserve">1</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19"/>
                <w:szCs w:val="19"/>
              </w:rPr>
              <w:t xml:space="preserve">Provide written confirmation of whether break switch was active on Account 2208 on March 18, 2026</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19"/>
                <w:szCs w:val="19"/>
              </w:rPr>
              <w:t xml:space="preserve">48 hours</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color w:val="4A4A4A"/>
                <w:sz w:val="19"/>
                <w:szCs w:val="19"/>
              </w:rPr>
              <w:t xml:space="preserve">2</w:t>
            </w:r>
          </w:p>
        </w:tc>
        <w:tc>
          <w:tcPr>
            <w:tcW w:type="dxa" w:w="6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color w:val="4A4A4A"/>
                <w:sz w:val="19"/>
                <w:szCs w:val="19"/>
              </w:rPr>
              <w:t xml:space="preserve">Provide full audit log of account activity on 2208, 2206, and 20043 between 15:44–16:00 UTC on March 18</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color w:val="4A4A4A"/>
                <w:sz w:val="19"/>
                <w:szCs w:val="19"/>
              </w:rPr>
              <w:t xml:space="preserve">48 hours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19"/>
                <w:szCs w:val="19"/>
              </w:rPr>
              <w:t xml:space="preserve">3</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19"/>
                <w:szCs w:val="19"/>
              </w:rPr>
              <w:t xml:space="preserve">Provide explanation of why the break switch did not halt trading at the –10% threshold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19"/>
                <w:szCs w:val="19"/>
              </w:rPr>
              <w:t xml:space="preserve">48 hours</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color w:val="4A4A4A"/>
                <w:sz w:val="19"/>
                <w:szCs w:val="19"/>
              </w:rPr>
              <w:t xml:space="preserve">4</w:t>
            </w:r>
          </w:p>
        </w:tc>
        <w:tc>
          <w:tcPr>
            <w:tcW w:type="dxa" w:w="6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color w:val="4A4A4A"/>
                <w:sz w:val="19"/>
                <w:szCs w:val="19"/>
              </w:rPr>
              <w:t xml:space="preserve">Configure new break switch settings per Section 3 of this memo on all three accounts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color w:val="4A4A4A"/>
                <w:sz w:val="19"/>
                <w:szCs w:val="19"/>
              </w:rPr>
              <w:t xml:space="preserve">Before next session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19"/>
                <w:szCs w:val="19"/>
              </w:rPr>
              <w:t xml:space="preserve">5</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19"/>
                <w:szCs w:val="19"/>
              </w:rPr>
              <w:t xml:space="preserve">Provide screenshot confirmation of new break switch settings per Section 5.1</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19"/>
                <w:szCs w:val="19"/>
              </w:rPr>
              <w:t xml:space="preserve">Before next session</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color w:val="4A4A4A"/>
                <w:sz w:val="19"/>
                <w:szCs w:val="19"/>
              </w:rPr>
              <w:t xml:space="preserve">6</w:t>
            </w:r>
          </w:p>
        </w:tc>
        <w:tc>
          <w:tcPr>
            <w:tcW w:type="dxa" w:w="6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color w:val="4A4A4A"/>
                <w:sz w:val="19"/>
                <w:szCs w:val="19"/>
              </w:rPr>
              <w:t xml:space="preserve">Confirm GOLD position limits per Section 4 are implemented at broker level</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color w:val="4A4A4A"/>
                <w:sz w:val="19"/>
                <w:szCs w:val="19"/>
              </w:rPr>
              <w:t xml:space="preserve">Before next session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19"/>
                <w:szCs w:val="19"/>
              </w:rPr>
              <w:t xml:space="preserve">7</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19"/>
                <w:szCs w:val="19"/>
              </w:rPr>
              <w:t xml:space="preserve">Confirm quarterly revalidation schedule per Section 5.2 starting Q2 2026</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19"/>
                <w:szCs w:val="19"/>
              </w:rPr>
              <w:t xml:space="preserve">30 days</w:t>
            </w:r>
          </w:p>
        </w:tc>
      </w:tr>
    </w:tbl>
    <w:p>
      <w:pPr>
        <w:spacing w:before="120" w:after="0"/>
      </w:pPr>
    </w:p>
    <w:p>
      <w:pPr>
        <w:spacing w:before="280" w:after="120"/>
      </w:pPr>
      <w:r>
        <w:rPr>
          <w:rFonts w:ascii="Arial" w:cs="Arial" w:eastAsia="Arial" w:hAnsi="Arial"/>
          <w:b/>
          <w:bCs/>
          <w:color w:val="1B2A4A"/>
          <w:sz w:val="28"/>
          <w:szCs w:val="28"/>
        </w:rPr>
        <w:t xml:space="preserve">7. LIABILITY STATEMENT</w:t>
      </w:r>
    </w:p>
    <w:p>
      <w:pPr>
        <w:spacing w:before="60" w:after="100"/>
        <w:jc w:val="left"/>
      </w:pPr>
      <w:r>
        <w:rPr>
          <w:rFonts w:ascii="Arial" w:cs="Arial" w:eastAsia="Arial" w:hAnsi="Arial"/>
          <w:b w:val="false"/>
          <w:bCs w:val="false"/>
          <w:i w:val="false"/>
          <w:iCs w:val="false"/>
          <w:color w:val="4A4A4A"/>
          <w:sz w:val="22"/>
          <w:szCs w:val="22"/>
        </w:rPr>
        <w:t xml:space="preserve">FIDUS Investment Management hereby formally notifies LUCRUM Capital that the failure of the broker break switch on March 18, 2026 — for which configuration instructions were given and confirmed — resulted in losses beyond the agreed protection threshold. FIDUS reserves all rights to seek recovery of losses attributable to this failure.</w:t>
      </w:r>
    </w:p>
    <w:p>
      <w:pPr>
        <w:spacing w:before="60" w:after="0"/>
      </w:pPr>
    </w:p>
    <w:p>
      <w:pPr>
        <w:spacing w:before="60" w:after="100"/>
        <w:jc w:val="left"/>
      </w:pPr>
      <w:r>
        <w:rPr>
          <w:rFonts w:ascii="Arial" w:cs="Arial" w:eastAsia="Arial" w:hAnsi="Arial"/>
          <w:b w:val="false"/>
          <w:bCs w:val="false"/>
          <w:i w:val="false"/>
          <w:iCs w:val="false"/>
          <w:color w:val="4A4A4A"/>
          <w:sz w:val="22"/>
          <w:szCs w:val="22"/>
        </w:rPr>
        <w:t xml:space="preserve">FIDUS expects a response to all items in Section 6 within the specified deadlines. Failure to respond will be treated as non-compliance with the account management agreement.</w:t>
      </w:r>
    </w:p>
    <w:p>
      <w:pPr>
        <w:spacing w:before="120" w:after="0"/>
      </w:pPr>
    </w:p>
    <w:p>
      <w:pPr>
        <w:spacing w:before="280" w:after="120"/>
      </w:pPr>
      <w:r>
        <w:rPr>
          <w:rFonts w:ascii="Arial" w:cs="Arial" w:eastAsia="Arial" w:hAnsi="Arial"/>
          <w:b/>
          <w:bCs/>
          <w:color w:val="1B2A4A"/>
          <w:sz w:val="28"/>
          <w:szCs w:val="28"/>
        </w:rPr>
        <w:t xml:space="preserve">8. CONFIRMATION REQUIRED</w:t>
      </w:r>
    </w:p>
    <w:p>
      <w:pPr>
        <w:spacing w:before="60" w:after="100"/>
        <w:jc w:val="left"/>
      </w:pPr>
      <w:r>
        <w:rPr>
          <w:rFonts w:ascii="Arial" w:cs="Arial" w:eastAsia="Arial" w:hAnsi="Arial"/>
          <w:b w:val="false"/>
          <w:bCs w:val="false"/>
          <w:i w:val="false"/>
          <w:iCs w:val="false"/>
          <w:color w:val="4A4A4A"/>
          <w:sz w:val="22"/>
          <w:szCs w:val="22"/>
        </w:rPr>
        <w:t xml:space="preserve">Please sign and return this memorandum confirming receipt and commitment to the actions specified in Section 6.</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w:r>
          </w:p>
        </w:tc>
        <w:tc>
          <w:tcPr>
            <w:tcW w:type="dxa" w:w="4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LUCRUM Capital</w:t>
            </w:r>
          </w:p>
        </w:tc>
        <w:tc>
          <w:tcPr>
            <w:tcW w:type="dxa" w:w="4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FIDUS Investment Management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19"/>
                <w:szCs w:val="19"/>
              </w:rPr>
              <w:t xml:space="preserve">Name</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19"/>
                <w:szCs w:val="19"/>
              </w:rPr>
              <w:t xml:space="preserve"/>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19"/>
                <w:szCs w:val="19"/>
              </w:rPr>
              <w:t xml:space="preserve">Salvador Palma Rubin de Celis</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color w:val="4A4A4A"/>
                <w:sz w:val="19"/>
                <w:szCs w:val="19"/>
              </w:rPr>
              <w:t xml:space="preserve">Title</w:t>
            </w:r>
          </w:p>
        </w:tc>
        <w:tc>
          <w:tcPr>
            <w:tcW w:type="dxa" w:w="40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color w:val="4A4A4A"/>
                <w:sz w:val="19"/>
                <w:szCs w:val="19"/>
              </w:rPr>
              <w:t xml:space="preserve"/>
            </w:r>
          </w:p>
        </w:tc>
        <w:tc>
          <w:tcPr>
            <w:tcW w:type="dxa" w:w="40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color w:val="4A4A4A"/>
                <w:sz w:val="19"/>
                <w:szCs w:val="19"/>
              </w:rPr>
              <w:t xml:space="preserve">Founder &amp; CEO</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19"/>
                <w:szCs w:val="19"/>
              </w:rPr>
              <w:t xml:space="preserve">Signature</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19"/>
                <w:szCs w:val="19"/>
              </w:rPr>
              <w:t xml:space="preserve"/>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19"/>
                <w:szCs w:val="19"/>
              </w:rPr>
              <w:t xml:space="preserve"/>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color w:val="4A4A4A"/>
                <w:sz w:val="19"/>
                <w:szCs w:val="19"/>
              </w:rPr>
              <w:t xml:space="preserve">Date</w:t>
            </w:r>
          </w:p>
        </w:tc>
        <w:tc>
          <w:tcPr>
            <w:tcW w:type="dxa" w:w="40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color w:val="4A4A4A"/>
                <w:sz w:val="19"/>
                <w:szCs w:val="19"/>
              </w:rPr>
              <w:t xml:space="preserve"/>
            </w:r>
          </w:p>
        </w:tc>
        <w:tc>
          <w:tcPr>
            <w:tcW w:type="dxa" w:w="40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color w:val="4A4A4A"/>
                <w:sz w:val="19"/>
                <w:szCs w:val="19"/>
              </w:rPr>
              <w:t xml:space="preserve">March 18, 2026</w:t>
            </w:r>
          </w:p>
        </w:tc>
      </w:tr>
    </w:tbl>
    <w:p>
      <w:pPr>
        <w:spacing w:before="120" w:after="0"/>
      </w:pPr>
    </w:p>
    <w:p>
      <w:pPr>
        <w:pBdr>
          <w:bottom w:val="single" w:color="1B2A4A" w:sz="4"/>
        </w:pBdr>
        <w:spacing w:before="200" w:after="200"/>
      </w:pPr>
    </w:p>
    <w:p>
      <w:pPr>
        <w:spacing w:before="60" w:after="100"/>
        <w:jc w:val="left"/>
      </w:pPr>
      <w:r>
        <w:rPr>
          <w:rFonts w:ascii="Arial" w:cs="Arial" w:eastAsia="Arial" w:hAnsi="Arial"/>
          <w:b w:val="false"/>
          <w:bCs w:val="false"/>
          <w:i/>
          <w:iCs/>
          <w:color w:val="4A4A4A"/>
          <w:sz w:val="22"/>
          <w:szCs w:val="22"/>
        </w:rPr>
        <w:t xml:space="preserve">FIDUS Investment Management  |  Confidential  |  March 18, 2026</w:t>
      </w:r>
    </w:p>
    <w:p>
      <w:pPr>
        <w:spacing w:before="60" w:after="100"/>
        <w:jc w:val="left"/>
      </w:pPr>
      <w:r>
        <w:rPr>
          <w:rFonts w:ascii="Arial" w:cs="Arial" w:eastAsia="Arial" w:hAnsi="Arial"/>
          <w:b w:val="false"/>
          <w:bCs w:val="false"/>
          <w:i/>
          <w:iCs/>
          <w:color w:val="4A4A4A"/>
          <w:sz w:val="22"/>
          <w:szCs w:val="22"/>
        </w:rPr>
        <w:t xml:space="preserve">This memorandum constitutes a formal written instruction to LUCRUM Capital. All prior verbal instructions regarding break switch configuration are hereby superseded by this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2026-03-18T17:21:32.005Z</dcterms:created>
  <dcterms:modified xsi:type="dcterms:W3CDTF">2026-03-18T17:21:32.005Z</dcterms:modified>
</cp:coreProperties>
</file>

<file path=docProps/custom.xml><?xml version="1.0" encoding="utf-8"?>
<Properties xmlns="http://schemas.openxmlformats.org/officeDocument/2006/custom-properties" xmlns:vt="http://schemas.openxmlformats.org/officeDocument/2006/docPropsVTypes"/>
</file>