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9F6ED" w14:textId="77777777" w:rsidR="000B523B" w:rsidRDefault="00D70404">
      <w:pPr>
        <w:spacing w:after="160"/>
        <w:jc w:val="center"/>
      </w:pPr>
      <w:bookmarkStart w:id="0" w:name="_GoBack"/>
      <w:bookmarkEnd w:id="0"/>
      <w:r>
        <w:rPr>
          <w:b/>
          <w:color w:val="1F4E79"/>
          <w:sz w:val="36"/>
        </w:rPr>
        <w:t>Lake Kariba 500MW Floating Solar</w:t>
      </w:r>
      <w:r>
        <w:rPr>
          <w:b/>
          <w:color w:val="1F4E79"/>
          <w:sz w:val="36"/>
        </w:rPr>
        <w:br/>
      </w:r>
      <w:r>
        <w:rPr>
          <w:b/>
          <w:color w:val="1F4E79"/>
          <w:sz w:val="36"/>
        </w:rPr>
        <w:t>风浪研究报告融资及</w:t>
      </w:r>
      <w:r>
        <w:rPr>
          <w:b/>
          <w:color w:val="1F4E79"/>
          <w:sz w:val="36"/>
        </w:rPr>
        <w:t>EPC</w:t>
      </w:r>
      <w:r>
        <w:rPr>
          <w:b/>
          <w:color w:val="1F4E79"/>
          <w:sz w:val="36"/>
        </w:rPr>
        <w:t>技术审阅意见</w:t>
      </w:r>
      <w:r>
        <w:rPr>
          <w:i/>
          <w:color w:val="595959"/>
          <w:sz w:val="24"/>
        </w:rPr>
        <w:br/>
        <w:t>Financing and EPC Technical Due Diligence Review Memo</w:t>
      </w:r>
    </w:p>
    <w:p w14:paraId="4752841D" w14:textId="77777777" w:rsidR="000B523B" w:rsidRDefault="00D70404">
      <w:pPr>
        <w:spacing w:after="240"/>
        <w:jc w:val="center"/>
      </w:pPr>
      <w:r>
        <w:rPr>
          <w:color w:val="595959"/>
          <w:sz w:val="18"/>
        </w:rPr>
        <w:t>Reviewed document: Lake Kariba 500MW Floating Solar - Wind Waves Study Report Rev 1.3sRV.pdf</w:t>
      </w:r>
      <w:r>
        <w:rPr>
          <w:color w:val="595959"/>
          <w:sz w:val="18"/>
        </w:rPr>
        <w:br/>
        <w:t>Perspective: EPC Contractor | Purpose: financing technical review and risk allocation</w:t>
      </w:r>
    </w:p>
    <w:tbl>
      <w:tblPr>
        <w:tblW w:w="0" w:type="auto"/>
        <w:tblLayout w:type="fixed"/>
        <w:tblLook w:val="04A0" w:firstRow="1" w:lastRow="0" w:firstColumn="1" w:lastColumn="0" w:noHBand="0" w:noVBand="1"/>
      </w:tblPr>
      <w:tblGrid>
        <w:gridCol w:w="2268"/>
        <w:gridCol w:w="3402"/>
        <w:gridCol w:w="3402"/>
      </w:tblGrid>
      <w:tr w:rsidR="000B523B" w14:paraId="506A8BBC" w14:textId="77777777">
        <w:tc>
          <w:tcPr>
            <w:tcW w:w="2268" w:type="dxa"/>
            <w:shd w:val="clear" w:color="auto" w:fill="D9EAF7"/>
            <w:tcMar>
              <w:top w:w="140" w:type="dxa"/>
              <w:left w:w="140" w:type="dxa"/>
              <w:bottom w:w="140" w:type="dxa"/>
              <w:right w:w="140" w:type="dxa"/>
            </w:tcMar>
            <w:vAlign w:val="center"/>
          </w:tcPr>
          <w:p w14:paraId="43A33835" w14:textId="77777777" w:rsidR="000B523B" w:rsidRDefault="00D70404">
            <w:pPr>
              <w:spacing w:after="0"/>
            </w:pPr>
            <w:r>
              <w:rPr>
                <w:b/>
                <w:color w:val="1F4E79"/>
                <w:sz w:val="18"/>
              </w:rPr>
              <w:t>总体判断</w:t>
            </w:r>
            <w:r>
              <w:rPr>
                <w:b/>
                <w:color w:val="1F4E79"/>
                <w:sz w:val="18"/>
              </w:rPr>
              <w:br/>
              <w:t>Overall View</w:t>
            </w:r>
            <w:r>
              <w:rPr>
                <w:b/>
                <w:color w:val="1F4E79"/>
                <w:sz w:val="18"/>
              </w:rPr>
              <w:br/>
            </w:r>
            <w:r>
              <w:rPr>
                <w:b/>
                <w:color w:val="1F4E79"/>
                <w:sz w:val="18"/>
              </w:rPr>
              <w:t>中等偏弱，需要补强</w:t>
            </w:r>
            <w:r>
              <w:rPr>
                <w:b/>
                <w:color w:val="1F4E79"/>
                <w:sz w:val="18"/>
              </w:rPr>
              <w:br/>
              <w:t>Moderate-to-weak; requires strengthening</w:t>
            </w:r>
          </w:p>
        </w:tc>
        <w:tc>
          <w:tcPr>
            <w:tcW w:w="3402" w:type="dxa"/>
            <w:shd w:val="clear" w:color="auto" w:fill="D9EAF7"/>
            <w:tcMar>
              <w:top w:w="140" w:type="dxa"/>
              <w:left w:w="140" w:type="dxa"/>
              <w:bottom w:w="140" w:type="dxa"/>
              <w:right w:w="140" w:type="dxa"/>
            </w:tcMar>
            <w:vAlign w:val="center"/>
          </w:tcPr>
          <w:p w14:paraId="67B023C4" w14:textId="77777777" w:rsidR="000B523B" w:rsidRDefault="00D70404">
            <w:pPr>
              <w:spacing w:after="0"/>
            </w:pPr>
            <w:r>
              <w:rPr>
                <w:b/>
                <w:color w:val="1F4E79"/>
                <w:sz w:val="18"/>
              </w:rPr>
              <w:t>EPC</w:t>
            </w:r>
            <w:r>
              <w:rPr>
                <w:b/>
                <w:color w:val="1F4E79"/>
                <w:sz w:val="18"/>
              </w:rPr>
              <w:t>立场</w:t>
            </w:r>
            <w:r>
              <w:rPr>
                <w:b/>
                <w:color w:val="1F4E79"/>
                <w:sz w:val="18"/>
              </w:rPr>
              <w:br/>
              <w:t>EPC Position</w:t>
            </w:r>
            <w:r>
              <w:rPr>
                <w:b/>
                <w:color w:val="1F4E79"/>
                <w:sz w:val="18"/>
              </w:rPr>
              <w:br/>
            </w:r>
            <w:r>
              <w:rPr>
                <w:b/>
                <w:color w:val="1F4E79"/>
                <w:sz w:val="18"/>
              </w:rPr>
              <w:t>有条件接受，不作无保留背书</w:t>
            </w:r>
            <w:r>
              <w:rPr>
                <w:b/>
                <w:color w:val="1F4E79"/>
                <w:sz w:val="18"/>
              </w:rPr>
              <w:br/>
              <w:t>Accept conditionally; no unconditional reliance</w:t>
            </w:r>
          </w:p>
        </w:tc>
        <w:tc>
          <w:tcPr>
            <w:tcW w:w="3402" w:type="dxa"/>
            <w:shd w:val="clear" w:color="auto" w:fill="D9EAF7"/>
            <w:tcMar>
              <w:top w:w="140" w:type="dxa"/>
              <w:left w:w="140" w:type="dxa"/>
              <w:bottom w:w="140" w:type="dxa"/>
              <w:right w:w="140" w:type="dxa"/>
            </w:tcMar>
            <w:vAlign w:val="center"/>
          </w:tcPr>
          <w:p w14:paraId="6B590039" w14:textId="77777777" w:rsidR="000B523B" w:rsidRDefault="00D70404">
            <w:pPr>
              <w:spacing w:after="0"/>
            </w:pPr>
            <w:r>
              <w:rPr>
                <w:b/>
                <w:color w:val="1F4E79"/>
                <w:sz w:val="18"/>
              </w:rPr>
              <w:t>融资用途</w:t>
            </w:r>
            <w:r>
              <w:rPr>
                <w:b/>
                <w:color w:val="1F4E79"/>
                <w:sz w:val="18"/>
              </w:rPr>
              <w:br/>
              <w:t>Financing Use</w:t>
            </w:r>
            <w:r>
              <w:rPr>
                <w:b/>
                <w:color w:val="1F4E79"/>
                <w:sz w:val="18"/>
              </w:rPr>
              <w:br/>
            </w:r>
            <w:r>
              <w:rPr>
                <w:b/>
                <w:color w:val="1F4E79"/>
                <w:sz w:val="18"/>
              </w:rPr>
              <w:t>可作附件，不能单独支撑</w:t>
            </w:r>
            <w:r>
              <w:rPr>
                <w:b/>
                <w:color w:val="1F4E79"/>
                <w:sz w:val="18"/>
              </w:rPr>
              <w:t>FC</w:t>
            </w:r>
            <w:r>
              <w:rPr>
                <w:b/>
                <w:color w:val="1F4E79"/>
                <w:sz w:val="18"/>
              </w:rPr>
              <w:br/>
              <w:t>Useful appendix; insufficient alone for financial close</w:t>
            </w:r>
          </w:p>
        </w:tc>
      </w:tr>
    </w:tbl>
    <w:p w14:paraId="227F7D0C" w14:textId="77777777" w:rsidR="000B523B" w:rsidRDefault="00D70404">
      <w:pPr>
        <w:pStyle w:val="Heading1"/>
      </w:pPr>
      <w:r>
        <w:rPr>
          <w:rFonts w:ascii="Arial" w:eastAsia="Microsoft YaHei" w:hAnsi="Arial"/>
        </w:rPr>
        <w:t>一、总评</w:t>
      </w:r>
      <w:r>
        <w:rPr>
          <w:rFonts w:ascii="Arial" w:hAnsi="Arial"/>
          <w:i/>
          <w:color w:val="595959"/>
          <w:sz w:val="20"/>
        </w:rPr>
        <w:br/>
        <w:t>1. Overall Opinion</w:t>
      </w:r>
    </w:p>
    <w:p w14:paraId="0FECEF5B" w14:textId="77777777" w:rsidR="000B523B" w:rsidRDefault="00D70404">
      <w:pPr>
        <w:spacing w:after="120"/>
      </w:pPr>
      <w:r>
        <w:t>本报告对项目是正面材料，可用于说明</w:t>
      </w:r>
      <w:r>
        <w:t xml:space="preserve"> Nyenje Bay </w:t>
      </w:r>
      <w:r>
        <w:t>风浪环境整体偏低，支持保险沟通和初步融资资料包。但从</w:t>
      </w:r>
      <w:r>
        <w:t xml:space="preserve"> EPC </w:t>
      </w:r>
      <w:r>
        <w:t>和融资技术尽调角度，它目前仍不是完整、可直接依赖的最终设计依据。</w:t>
      </w:r>
      <w:r>
        <w:rPr>
          <w:i/>
          <w:color w:val="595959"/>
          <w:sz w:val="19"/>
        </w:rPr>
        <w:br/>
        <w:t>The report is positive for the project and can support the view that the wind and wave environment at Nyenje Bay is generally mild. It is useful for insurance discussions and as part of an early financing package. However, from an EPC and lender technical due diligence perspective, it is not yet a complete and directly reliable final design basis.</w:t>
      </w:r>
    </w:p>
    <w:p w14:paraId="0FA7402A" w14:textId="77777777" w:rsidR="000B523B" w:rsidRDefault="00D70404">
      <w:pPr>
        <w:spacing w:after="120"/>
      </w:pPr>
      <w:r>
        <w:t xml:space="preserve">EPC </w:t>
      </w:r>
      <w:r>
        <w:t>建议立场：有条件接受，不作无保留背书。最终</w:t>
      </w:r>
      <w:r>
        <w:t xml:space="preserve"> EPC </w:t>
      </w:r>
      <w:r>
        <w:t>报价、工期、性能担保和责任边界，应以经独立工程师审查确认的</w:t>
      </w:r>
      <w:r>
        <w:t xml:space="preserve"> Design Basis</w:t>
      </w:r>
      <w:r>
        <w:t>、完整模型资料、现场补充实测、锚泊</w:t>
      </w:r>
      <w:r>
        <w:t>/</w:t>
      </w:r>
      <w:r>
        <w:t>地勘</w:t>
      </w:r>
      <w:r>
        <w:t>/</w:t>
      </w:r>
      <w:r>
        <w:t>浮体专项设计为前提。</w:t>
      </w:r>
      <w:r>
        <w:rPr>
          <w:i/>
          <w:color w:val="595959"/>
          <w:sz w:val="19"/>
        </w:rPr>
        <w:br/>
        <w:t>Recommended EPC position: accept conditionally, without unconditional reliance. Final EPC pricing, schedule, performance guarantees, and risk allocation should be subject to an Independent Engineer-reviewed Design Basis, complete modelling records, additional site measurements, and dedicated mooring/geotechnical/floating-structure design packages.</w:t>
      </w:r>
    </w:p>
    <w:p w14:paraId="1E555763" w14:textId="77777777" w:rsidR="000B523B" w:rsidRDefault="00D70404">
      <w:pPr>
        <w:pStyle w:val="Heading1"/>
      </w:pPr>
      <w:r>
        <w:rPr>
          <w:rFonts w:ascii="Arial" w:eastAsia="Microsoft YaHei" w:hAnsi="Arial"/>
        </w:rPr>
        <w:t>二、核心问题汇总</w:t>
      </w:r>
      <w:r>
        <w:rPr>
          <w:rFonts w:ascii="Arial" w:hAnsi="Arial"/>
          <w:i/>
          <w:color w:val="595959"/>
          <w:sz w:val="20"/>
        </w:rPr>
        <w:br/>
        <w:t>2. Summary of Key Issues</w:t>
      </w:r>
    </w:p>
    <w:tbl>
      <w:tblPr>
        <w:tblStyle w:val="TableGrid"/>
        <w:tblW w:w="0" w:type="auto"/>
        <w:tblLayout w:type="fixed"/>
        <w:tblLook w:val="04A0" w:firstRow="1" w:lastRow="0" w:firstColumn="1" w:lastColumn="0" w:noHBand="0" w:noVBand="1"/>
      </w:tblPr>
      <w:tblGrid>
        <w:gridCol w:w="624"/>
        <w:gridCol w:w="4082"/>
        <w:gridCol w:w="3742"/>
        <w:gridCol w:w="1304"/>
      </w:tblGrid>
      <w:tr w:rsidR="000B523B" w14:paraId="778D1544" w14:textId="77777777">
        <w:tc>
          <w:tcPr>
            <w:tcW w:w="624" w:type="dxa"/>
            <w:shd w:val="clear" w:color="auto" w:fill="1F4E79"/>
            <w:tcMar>
              <w:top w:w="120" w:type="dxa"/>
              <w:left w:w="120" w:type="dxa"/>
              <w:bottom w:w="120" w:type="dxa"/>
              <w:right w:w="120" w:type="dxa"/>
            </w:tcMar>
            <w:vAlign w:val="center"/>
          </w:tcPr>
          <w:p w14:paraId="4B06396C" w14:textId="77777777" w:rsidR="000B523B" w:rsidRDefault="00D70404">
            <w:pPr>
              <w:spacing w:line="276" w:lineRule="auto"/>
            </w:pPr>
            <w:r>
              <w:rPr>
                <w:b/>
                <w:color w:val="FFFFFF"/>
                <w:sz w:val="17"/>
              </w:rPr>
              <w:t>No.</w:t>
            </w:r>
          </w:p>
        </w:tc>
        <w:tc>
          <w:tcPr>
            <w:tcW w:w="4082" w:type="dxa"/>
            <w:shd w:val="clear" w:color="auto" w:fill="1F4E79"/>
            <w:tcMar>
              <w:top w:w="120" w:type="dxa"/>
              <w:left w:w="120" w:type="dxa"/>
              <w:bottom w:w="120" w:type="dxa"/>
              <w:right w:w="120" w:type="dxa"/>
            </w:tcMar>
            <w:vAlign w:val="center"/>
          </w:tcPr>
          <w:p w14:paraId="48D5B083" w14:textId="77777777" w:rsidR="000B523B" w:rsidRDefault="00D70404">
            <w:pPr>
              <w:spacing w:line="276" w:lineRule="auto"/>
            </w:pPr>
            <w:r>
              <w:rPr>
                <w:b/>
                <w:color w:val="FFFFFF"/>
                <w:sz w:val="17"/>
              </w:rPr>
              <w:t>问题</w:t>
            </w:r>
            <w:r>
              <w:rPr>
                <w:b/>
                <w:color w:val="FFFFFF"/>
                <w:sz w:val="17"/>
              </w:rPr>
              <w:t xml:space="preserve"> / Issue</w:t>
            </w:r>
          </w:p>
        </w:tc>
        <w:tc>
          <w:tcPr>
            <w:tcW w:w="3742" w:type="dxa"/>
            <w:shd w:val="clear" w:color="auto" w:fill="1F4E79"/>
            <w:tcMar>
              <w:top w:w="120" w:type="dxa"/>
              <w:left w:w="120" w:type="dxa"/>
              <w:bottom w:w="120" w:type="dxa"/>
              <w:right w:w="120" w:type="dxa"/>
            </w:tcMar>
            <w:vAlign w:val="center"/>
          </w:tcPr>
          <w:p w14:paraId="48E167FB" w14:textId="77777777" w:rsidR="000B523B" w:rsidRDefault="00D70404">
            <w:pPr>
              <w:spacing w:line="276" w:lineRule="auto"/>
            </w:pPr>
            <w:r>
              <w:rPr>
                <w:b/>
                <w:color w:val="FFFFFF"/>
                <w:sz w:val="17"/>
              </w:rPr>
              <w:t>建议</w:t>
            </w:r>
            <w:r>
              <w:rPr>
                <w:b/>
                <w:color w:val="FFFFFF"/>
                <w:sz w:val="17"/>
              </w:rPr>
              <w:t xml:space="preserve"> / Recommendation</w:t>
            </w:r>
          </w:p>
        </w:tc>
        <w:tc>
          <w:tcPr>
            <w:tcW w:w="1304" w:type="dxa"/>
            <w:shd w:val="clear" w:color="auto" w:fill="1F4E79"/>
            <w:tcMar>
              <w:top w:w="120" w:type="dxa"/>
              <w:left w:w="120" w:type="dxa"/>
              <w:bottom w:w="120" w:type="dxa"/>
              <w:right w:w="120" w:type="dxa"/>
            </w:tcMar>
            <w:vAlign w:val="center"/>
          </w:tcPr>
          <w:p w14:paraId="0A5EF296" w14:textId="77777777" w:rsidR="000B523B" w:rsidRDefault="00D70404">
            <w:pPr>
              <w:spacing w:line="276" w:lineRule="auto"/>
            </w:pPr>
            <w:r>
              <w:rPr>
                <w:b/>
                <w:color w:val="FFFFFF"/>
                <w:sz w:val="17"/>
              </w:rPr>
              <w:t>位置</w:t>
            </w:r>
            <w:r>
              <w:rPr>
                <w:b/>
                <w:color w:val="FFFFFF"/>
                <w:sz w:val="17"/>
              </w:rPr>
              <w:t xml:space="preserve"> / Location</w:t>
            </w:r>
          </w:p>
        </w:tc>
      </w:tr>
      <w:tr w:rsidR="000B523B" w14:paraId="31A2E744" w14:textId="77777777">
        <w:tc>
          <w:tcPr>
            <w:tcW w:w="624" w:type="dxa"/>
            <w:tcMar>
              <w:top w:w="100" w:type="dxa"/>
              <w:left w:w="100" w:type="dxa"/>
              <w:bottom w:w="100" w:type="dxa"/>
              <w:right w:w="100" w:type="dxa"/>
            </w:tcMar>
            <w:vAlign w:val="center"/>
          </w:tcPr>
          <w:p w14:paraId="7A75DB6B" w14:textId="77777777" w:rsidR="000B523B" w:rsidRDefault="00D70404">
            <w:pPr>
              <w:spacing w:line="276" w:lineRule="auto"/>
            </w:pPr>
            <w:r>
              <w:rPr>
                <w:sz w:val="17"/>
              </w:rPr>
              <w:t>1</w:t>
            </w:r>
          </w:p>
        </w:tc>
        <w:tc>
          <w:tcPr>
            <w:tcW w:w="4082" w:type="dxa"/>
            <w:tcMar>
              <w:top w:w="100" w:type="dxa"/>
              <w:left w:w="100" w:type="dxa"/>
              <w:bottom w:w="100" w:type="dxa"/>
              <w:right w:w="100" w:type="dxa"/>
            </w:tcMar>
            <w:vAlign w:val="center"/>
          </w:tcPr>
          <w:p w14:paraId="166F92AE" w14:textId="77777777" w:rsidR="000B523B" w:rsidRDefault="00D70404">
            <w:pPr>
              <w:spacing w:line="276" w:lineRule="auto"/>
            </w:pPr>
            <w:commentRangeStart w:id="1"/>
            <w:r>
              <w:rPr>
                <w:sz w:val="16"/>
              </w:rPr>
              <w:t>报告定位偏保险</w:t>
            </w:r>
            <w:r>
              <w:rPr>
                <w:sz w:val="16"/>
              </w:rPr>
              <w:t>/</w:t>
            </w:r>
            <w:r>
              <w:rPr>
                <w:sz w:val="16"/>
              </w:rPr>
              <w:t>可保性，不是完整融资技术</w:t>
            </w:r>
            <w:r>
              <w:rPr>
                <w:sz w:val="16"/>
              </w:rPr>
              <w:t>DD</w:t>
            </w:r>
            <w:r>
              <w:rPr>
                <w:sz w:val="16"/>
              </w:rPr>
              <w:t>或最终设计基准。</w:t>
            </w:r>
            <w:r>
              <w:rPr>
                <w:sz w:val="16"/>
              </w:rPr>
              <w:br/>
              <w:t>The report is framed for insurance/insurability, not as a full financing TDD or final design basis.</w:t>
            </w:r>
            <w:commentRangeEnd w:id="1"/>
            <w:r w:rsidR="00114A59">
              <w:rPr>
                <w:rStyle w:val="CommentReference"/>
                <w:sz w:val="21"/>
                <w:szCs w:val="22"/>
              </w:rPr>
              <w:commentReference w:id="1"/>
            </w:r>
          </w:p>
        </w:tc>
        <w:tc>
          <w:tcPr>
            <w:tcW w:w="3742" w:type="dxa"/>
            <w:tcMar>
              <w:top w:w="100" w:type="dxa"/>
              <w:left w:w="100" w:type="dxa"/>
              <w:bottom w:w="100" w:type="dxa"/>
              <w:right w:w="100" w:type="dxa"/>
            </w:tcMar>
            <w:vAlign w:val="center"/>
          </w:tcPr>
          <w:p w14:paraId="515AEBF6" w14:textId="77777777" w:rsidR="000B523B" w:rsidRDefault="00D70404">
            <w:pPr>
              <w:spacing w:line="276" w:lineRule="auto"/>
            </w:pPr>
            <w:r>
              <w:rPr>
                <w:sz w:val="16"/>
              </w:rPr>
              <w:t>要求出具融资版</w:t>
            </w:r>
            <w:r>
              <w:rPr>
                <w:sz w:val="16"/>
              </w:rPr>
              <w:t>Design Basis Addendum</w:t>
            </w:r>
            <w:r>
              <w:rPr>
                <w:sz w:val="16"/>
              </w:rPr>
              <w:t>及</w:t>
            </w:r>
            <w:r>
              <w:rPr>
                <w:sz w:val="16"/>
              </w:rPr>
              <w:t>IE review/reliance letter</w:t>
            </w:r>
            <w:r>
              <w:rPr>
                <w:sz w:val="16"/>
              </w:rPr>
              <w:t>。</w:t>
            </w:r>
            <w:r>
              <w:rPr>
                <w:sz w:val="16"/>
              </w:rPr>
              <w:br/>
              <w:t>Request a financing-grade Design Basis Addendum and IE review/reliance letter.</w:t>
            </w:r>
          </w:p>
        </w:tc>
        <w:tc>
          <w:tcPr>
            <w:tcW w:w="1304" w:type="dxa"/>
            <w:tcMar>
              <w:top w:w="100" w:type="dxa"/>
              <w:left w:w="100" w:type="dxa"/>
              <w:bottom w:w="100" w:type="dxa"/>
              <w:right w:w="100" w:type="dxa"/>
            </w:tcMar>
            <w:vAlign w:val="center"/>
          </w:tcPr>
          <w:p w14:paraId="281B1289" w14:textId="77777777" w:rsidR="000B523B" w:rsidRDefault="00D70404">
            <w:pPr>
              <w:spacing w:line="276" w:lineRule="auto"/>
            </w:pPr>
            <w:r>
              <w:rPr>
                <w:sz w:val="17"/>
              </w:rPr>
              <w:t>Synopsis; Ch.1; Ch.7</w:t>
            </w:r>
          </w:p>
        </w:tc>
      </w:tr>
      <w:tr w:rsidR="000B523B" w14:paraId="4F193B98" w14:textId="77777777">
        <w:tc>
          <w:tcPr>
            <w:tcW w:w="624" w:type="dxa"/>
            <w:tcMar>
              <w:top w:w="100" w:type="dxa"/>
              <w:left w:w="100" w:type="dxa"/>
              <w:bottom w:w="100" w:type="dxa"/>
              <w:right w:w="100" w:type="dxa"/>
            </w:tcMar>
            <w:vAlign w:val="center"/>
          </w:tcPr>
          <w:p w14:paraId="518ED8D8" w14:textId="77777777" w:rsidR="000B523B" w:rsidRDefault="00D70404">
            <w:pPr>
              <w:spacing w:line="276" w:lineRule="auto"/>
            </w:pPr>
            <w:r>
              <w:rPr>
                <w:sz w:val="17"/>
              </w:rPr>
              <w:t>2</w:t>
            </w:r>
          </w:p>
        </w:tc>
        <w:tc>
          <w:tcPr>
            <w:tcW w:w="4082" w:type="dxa"/>
            <w:tcMar>
              <w:top w:w="100" w:type="dxa"/>
              <w:left w:w="100" w:type="dxa"/>
              <w:bottom w:w="100" w:type="dxa"/>
              <w:right w:w="100" w:type="dxa"/>
            </w:tcMar>
            <w:vAlign w:val="center"/>
          </w:tcPr>
          <w:p w14:paraId="7021B8B2" w14:textId="77777777" w:rsidR="000B523B" w:rsidRDefault="00D70404">
            <w:pPr>
              <w:spacing w:line="276" w:lineRule="auto"/>
            </w:pPr>
            <w:commentRangeStart w:id="2"/>
            <w:r>
              <w:rPr>
                <w:sz w:val="16"/>
              </w:rPr>
              <w:t>项目容量表述不一致：标题为</w:t>
            </w:r>
            <w:r>
              <w:rPr>
                <w:sz w:val="16"/>
              </w:rPr>
              <w:t>500MW</w:t>
            </w:r>
            <w:r>
              <w:rPr>
                <w:sz w:val="16"/>
              </w:rPr>
              <w:t>，正文多处为</w:t>
            </w:r>
            <w:r>
              <w:rPr>
                <w:sz w:val="16"/>
              </w:rPr>
              <w:t>2 x 500MW</w:t>
            </w:r>
            <w:r>
              <w:rPr>
                <w:sz w:val="16"/>
              </w:rPr>
              <w:t>。</w:t>
            </w:r>
            <w:r>
              <w:rPr>
                <w:sz w:val="16"/>
              </w:rPr>
              <w:br/>
              <w:t>Capacity is inconsistent: title says 500MW, while text repeatedly states 2 x 500MW.</w:t>
            </w:r>
            <w:commentRangeEnd w:id="2"/>
            <w:r w:rsidR="00114A59">
              <w:rPr>
                <w:rStyle w:val="CommentReference"/>
                <w:sz w:val="21"/>
                <w:szCs w:val="22"/>
              </w:rPr>
              <w:commentReference w:id="2"/>
            </w:r>
          </w:p>
        </w:tc>
        <w:tc>
          <w:tcPr>
            <w:tcW w:w="3742" w:type="dxa"/>
            <w:tcMar>
              <w:top w:w="100" w:type="dxa"/>
              <w:left w:w="100" w:type="dxa"/>
              <w:bottom w:w="100" w:type="dxa"/>
              <w:right w:w="100" w:type="dxa"/>
            </w:tcMar>
            <w:vAlign w:val="center"/>
          </w:tcPr>
          <w:p w14:paraId="58B789E3" w14:textId="77777777" w:rsidR="000B523B" w:rsidRDefault="00D70404">
            <w:pPr>
              <w:spacing w:line="276" w:lineRule="auto"/>
            </w:pPr>
            <w:r>
              <w:rPr>
                <w:sz w:val="16"/>
              </w:rPr>
              <w:t>要求业主确认最终容量、分期、边界和本报告适用范围。</w:t>
            </w:r>
            <w:r>
              <w:rPr>
                <w:sz w:val="16"/>
              </w:rPr>
              <w:br/>
              <w:t>Require owner confirmation of capacity, phasing, boundaries, and report applicability.</w:t>
            </w:r>
          </w:p>
        </w:tc>
        <w:tc>
          <w:tcPr>
            <w:tcW w:w="1304" w:type="dxa"/>
            <w:tcMar>
              <w:top w:w="100" w:type="dxa"/>
              <w:left w:w="100" w:type="dxa"/>
              <w:bottom w:w="100" w:type="dxa"/>
              <w:right w:w="100" w:type="dxa"/>
            </w:tcMar>
            <w:vAlign w:val="center"/>
          </w:tcPr>
          <w:p w14:paraId="1431A1CF" w14:textId="77777777" w:rsidR="000B523B" w:rsidRDefault="00D70404">
            <w:pPr>
              <w:spacing w:line="276" w:lineRule="auto"/>
            </w:pPr>
            <w:r>
              <w:rPr>
                <w:sz w:val="17"/>
              </w:rPr>
              <w:t>Cover; p.i; p.8; p.10; p.38</w:t>
            </w:r>
          </w:p>
        </w:tc>
      </w:tr>
      <w:tr w:rsidR="000B523B" w14:paraId="5B426EDA" w14:textId="77777777">
        <w:tc>
          <w:tcPr>
            <w:tcW w:w="624" w:type="dxa"/>
            <w:tcMar>
              <w:top w:w="100" w:type="dxa"/>
              <w:left w:w="100" w:type="dxa"/>
              <w:bottom w:w="100" w:type="dxa"/>
              <w:right w:w="100" w:type="dxa"/>
            </w:tcMar>
            <w:vAlign w:val="center"/>
          </w:tcPr>
          <w:p w14:paraId="1610154E" w14:textId="77777777" w:rsidR="000B523B" w:rsidRDefault="00D70404">
            <w:pPr>
              <w:spacing w:line="276" w:lineRule="auto"/>
            </w:pPr>
            <w:r>
              <w:rPr>
                <w:sz w:val="17"/>
              </w:rPr>
              <w:t>3</w:t>
            </w:r>
          </w:p>
        </w:tc>
        <w:tc>
          <w:tcPr>
            <w:tcW w:w="4082" w:type="dxa"/>
            <w:tcMar>
              <w:top w:w="100" w:type="dxa"/>
              <w:left w:w="100" w:type="dxa"/>
              <w:bottom w:w="100" w:type="dxa"/>
              <w:right w:w="100" w:type="dxa"/>
            </w:tcMar>
            <w:vAlign w:val="center"/>
          </w:tcPr>
          <w:p w14:paraId="020E1813" w14:textId="77777777" w:rsidR="000B523B" w:rsidRDefault="00D70404">
            <w:pPr>
              <w:spacing w:line="276" w:lineRule="auto"/>
            </w:pPr>
            <w:commentRangeStart w:id="3"/>
            <w:r>
              <w:rPr>
                <w:sz w:val="16"/>
              </w:rPr>
              <w:t>现场实测与地面验证不足：现场站仅约</w:t>
            </w:r>
            <w:r>
              <w:rPr>
                <w:sz w:val="16"/>
              </w:rPr>
              <w:t>1-2</w:t>
            </w:r>
            <w:r>
              <w:rPr>
                <w:sz w:val="16"/>
              </w:rPr>
              <w:t>周，</w:t>
            </w:r>
            <w:r>
              <w:rPr>
                <w:sz w:val="16"/>
              </w:rPr>
              <w:t>Lake Harvest pending</w:t>
            </w:r>
            <w:r>
              <w:rPr>
                <w:sz w:val="16"/>
              </w:rPr>
              <w:t>，</w:t>
            </w:r>
            <w:r>
              <w:rPr>
                <w:sz w:val="16"/>
              </w:rPr>
              <w:t>Padenga</w:t>
            </w:r>
            <w:r>
              <w:rPr>
                <w:sz w:val="16"/>
              </w:rPr>
              <w:t>无风速，地面相关系数仅</w:t>
            </w:r>
            <w:r>
              <w:rPr>
                <w:sz w:val="16"/>
              </w:rPr>
              <w:t>0.40</w:t>
            </w:r>
            <w:r>
              <w:rPr>
                <w:sz w:val="16"/>
              </w:rPr>
              <w:t>。</w:t>
            </w:r>
            <w:r>
              <w:rPr>
                <w:sz w:val="16"/>
              </w:rPr>
              <w:br/>
            </w:r>
            <w:r>
              <w:rPr>
                <w:sz w:val="16"/>
              </w:rPr>
              <w:lastRenderedPageBreak/>
              <w:t>Site measurement and ground validation are weak: on-site station only about 1-2 weeks, Lake Harvest pending, Padenga has no wind speed, ground correlation only 0.40.</w:t>
            </w:r>
            <w:commentRangeEnd w:id="3"/>
            <w:r w:rsidR="00114A59">
              <w:rPr>
                <w:rStyle w:val="CommentReference"/>
                <w:sz w:val="21"/>
                <w:szCs w:val="22"/>
              </w:rPr>
              <w:commentReference w:id="3"/>
            </w:r>
          </w:p>
        </w:tc>
        <w:tc>
          <w:tcPr>
            <w:tcW w:w="3742" w:type="dxa"/>
            <w:tcMar>
              <w:top w:w="100" w:type="dxa"/>
              <w:left w:w="100" w:type="dxa"/>
              <w:bottom w:w="100" w:type="dxa"/>
              <w:right w:w="100" w:type="dxa"/>
            </w:tcMar>
            <w:vAlign w:val="center"/>
          </w:tcPr>
          <w:p w14:paraId="71BE2FFF" w14:textId="77777777" w:rsidR="000B523B" w:rsidRDefault="00D70404">
            <w:pPr>
              <w:spacing w:line="276" w:lineRule="auto"/>
            </w:pPr>
            <w:r>
              <w:rPr>
                <w:sz w:val="16"/>
              </w:rPr>
              <w:lastRenderedPageBreak/>
              <w:t>至少补高风季实测；融资关闭前最好累计</w:t>
            </w:r>
            <w:r>
              <w:rPr>
                <w:sz w:val="16"/>
              </w:rPr>
              <w:t>6-12</w:t>
            </w:r>
            <w:r>
              <w:rPr>
                <w:sz w:val="16"/>
              </w:rPr>
              <w:t>个月数据或由</w:t>
            </w:r>
            <w:r>
              <w:rPr>
                <w:sz w:val="16"/>
              </w:rPr>
              <w:t>IE</w:t>
            </w:r>
            <w:r>
              <w:rPr>
                <w:sz w:val="16"/>
              </w:rPr>
              <w:t>认可替代方法。</w:t>
            </w:r>
            <w:r>
              <w:rPr>
                <w:sz w:val="16"/>
              </w:rPr>
              <w:br/>
              <w:t xml:space="preserve">Add high-wind-season measurements; preferably </w:t>
            </w:r>
            <w:r>
              <w:rPr>
                <w:sz w:val="16"/>
              </w:rPr>
              <w:lastRenderedPageBreak/>
              <w:t>6-12 months before FC or an IE-approved alternative.</w:t>
            </w:r>
          </w:p>
        </w:tc>
        <w:tc>
          <w:tcPr>
            <w:tcW w:w="1304" w:type="dxa"/>
            <w:tcMar>
              <w:top w:w="100" w:type="dxa"/>
              <w:left w:w="100" w:type="dxa"/>
              <w:bottom w:w="100" w:type="dxa"/>
              <w:right w:w="100" w:type="dxa"/>
            </w:tcMar>
            <w:vAlign w:val="center"/>
          </w:tcPr>
          <w:p w14:paraId="28443217" w14:textId="77777777" w:rsidR="000B523B" w:rsidRDefault="00D70404">
            <w:pPr>
              <w:spacing w:line="276" w:lineRule="auto"/>
            </w:pPr>
            <w:r>
              <w:rPr>
                <w:sz w:val="17"/>
              </w:rPr>
              <w:lastRenderedPageBreak/>
              <w:t>p.11; p.14-p.18</w:t>
            </w:r>
          </w:p>
        </w:tc>
      </w:tr>
      <w:tr w:rsidR="000B523B" w14:paraId="798687F6" w14:textId="77777777">
        <w:tc>
          <w:tcPr>
            <w:tcW w:w="624" w:type="dxa"/>
            <w:tcMar>
              <w:top w:w="100" w:type="dxa"/>
              <w:left w:w="100" w:type="dxa"/>
              <w:bottom w:w="100" w:type="dxa"/>
              <w:right w:w="100" w:type="dxa"/>
            </w:tcMar>
            <w:vAlign w:val="center"/>
          </w:tcPr>
          <w:p w14:paraId="1EA37A83" w14:textId="77777777" w:rsidR="000B523B" w:rsidRDefault="00D70404">
            <w:pPr>
              <w:spacing w:line="276" w:lineRule="auto"/>
            </w:pPr>
            <w:r>
              <w:rPr>
                <w:sz w:val="17"/>
              </w:rPr>
              <w:t>4</w:t>
            </w:r>
          </w:p>
        </w:tc>
        <w:tc>
          <w:tcPr>
            <w:tcW w:w="4082" w:type="dxa"/>
            <w:tcMar>
              <w:top w:w="100" w:type="dxa"/>
              <w:left w:w="100" w:type="dxa"/>
              <w:bottom w:w="100" w:type="dxa"/>
              <w:right w:w="100" w:type="dxa"/>
            </w:tcMar>
            <w:vAlign w:val="center"/>
          </w:tcPr>
          <w:p w14:paraId="009FBADA" w14:textId="77777777" w:rsidR="000B523B" w:rsidRDefault="00D70404">
            <w:pPr>
              <w:spacing w:line="276" w:lineRule="auto"/>
            </w:pPr>
            <w:r>
              <w:rPr>
                <w:sz w:val="16"/>
              </w:rPr>
              <w:t>ERA5</w:t>
            </w:r>
            <w:r>
              <w:rPr>
                <w:sz w:val="16"/>
              </w:rPr>
              <w:t>乘以</w:t>
            </w:r>
            <w:r>
              <w:rPr>
                <w:sz w:val="16"/>
              </w:rPr>
              <w:t>0.718</w:t>
            </w:r>
            <w:r>
              <w:rPr>
                <w:sz w:val="16"/>
              </w:rPr>
              <w:t>降低风速输入，对</w:t>
            </w:r>
            <w:r>
              <w:rPr>
                <w:sz w:val="16"/>
              </w:rPr>
              <w:t>EPC</w:t>
            </w:r>
            <w:r>
              <w:rPr>
                <w:sz w:val="16"/>
              </w:rPr>
              <w:t>不应简单视为保守。</w:t>
            </w:r>
            <w:r>
              <w:rPr>
                <w:sz w:val="16"/>
              </w:rPr>
              <w:br/>
              <w:t>Multiplying ERA5 by 0.718 reduces wind input and should not automatically be treated as conservative for EPC.</w:t>
            </w:r>
          </w:p>
        </w:tc>
        <w:tc>
          <w:tcPr>
            <w:tcW w:w="3742" w:type="dxa"/>
            <w:tcMar>
              <w:top w:w="100" w:type="dxa"/>
              <w:left w:w="100" w:type="dxa"/>
              <w:bottom w:w="100" w:type="dxa"/>
              <w:right w:w="100" w:type="dxa"/>
            </w:tcMar>
            <w:vAlign w:val="center"/>
          </w:tcPr>
          <w:p w14:paraId="0ACFE6B6" w14:textId="77777777" w:rsidR="000B523B" w:rsidRDefault="00D70404">
            <w:pPr>
              <w:spacing w:line="276" w:lineRule="auto"/>
            </w:pPr>
            <w:r>
              <w:rPr>
                <w:sz w:val="16"/>
              </w:rPr>
              <w:t>要求提供未修正</w:t>
            </w:r>
            <w:r>
              <w:rPr>
                <w:sz w:val="16"/>
              </w:rPr>
              <w:t>ERA5</w:t>
            </w:r>
            <w:r>
              <w:rPr>
                <w:sz w:val="16"/>
              </w:rPr>
              <w:t>、修正</w:t>
            </w:r>
            <w:r>
              <w:rPr>
                <w:sz w:val="16"/>
              </w:rPr>
              <w:t>ERA5</w:t>
            </w:r>
            <w:r>
              <w:rPr>
                <w:sz w:val="16"/>
              </w:rPr>
              <w:t>、上包络和敏感性工况对比。</w:t>
            </w:r>
            <w:r>
              <w:rPr>
                <w:sz w:val="16"/>
              </w:rPr>
              <w:br/>
              <w:t>Require comparison of raw ERA5, corrected ERA5, upper-envelope, and sensitivity cases.</w:t>
            </w:r>
          </w:p>
        </w:tc>
        <w:tc>
          <w:tcPr>
            <w:tcW w:w="1304" w:type="dxa"/>
            <w:tcMar>
              <w:top w:w="100" w:type="dxa"/>
              <w:left w:w="100" w:type="dxa"/>
              <w:bottom w:w="100" w:type="dxa"/>
              <w:right w:w="100" w:type="dxa"/>
            </w:tcMar>
            <w:vAlign w:val="center"/>
          </w:tcPr>
          <w:p w14:paraId="64D2795B" w14:textId="77777777" w:rsidR="000B523B" w:rsidRDefault="00D70404">
            <w:pPr>
              <w:spacing w:line="276" w:lineRule="auto"/>
            </w:pPr>
            <w:r>
              <w:rPr>
                <w:sz w:val="17"/>
              </w:rPr>
              <w:t>p.19-p.21</w:t>
            </w:r>
          </w:p>
        </w:tc>
      </w:tr>
      <w:tr w:rsidR="000B523B" w14:paraId="37B87B9A" w14:textId="77777777">
        <w:tc>
          <w:tcPr>
            <w:tcW w:w="624" w:type="dxa"/>
            <w:tcMar>
              <w:top w:w="100" w:type="dxa"/>
              <w:left w:w="100" w:type="dxa"/>
              <w:bottom w:w="100" w:type="dxa"/>
              <w:right w:w="100" w:type="dxa"/>
            </w:tcMar>
            <w:vAlign w:val="center"/>
          </w:tcPr>
          <w:p w14:paraId="391AE01A" w14:textId="77777777" w:rsidR="000B523B" w:rsidRDefault="00D70404">
            <w:pPr>
              <w:spacing w:line="276" w:lineRule="auto"/>
            </w:pPr>
            <w:r>
              <w:rPr>
                <w:sz w:val="17"/>
              </w:rPr>
              <w:t>5</w:t>
            </w:r>
          </w:p>
        </w:tc>
        <w:tc>
          <w:tcPr>
            <w:tcW w:w="4082" w:type="dxa"/>
            <w:tcMar>
              <w:top w:w="100" w:type="dxa"/>
              <w:left w:w="100" w:type="dxa"/>
              <w:bottom w:w="100" w:type="dxa"/>
              <w:right w:w="100" w:type="dxa"/>
            </w:tcMar>
            <w:vAlign w:val="center"/>
          </w:tcPr>
          <w:p w14:paraId="57142979" w14:textId="77777777" w:rsidR="000B523B" w:rsidRDefault="00D70404">
            <w:pPr>
              <w:spacing w:line="276" w:lineRule="auto"/>
            </w:pPr>
            <w:r>
              <w:rPr>
                <w:sz w:val="16"/>
              </w:rPr>
              <w:t>SWAN</w:t>
            </w:r>
            <w:r>
              <w:rPr>
                <w:sz w:val="16"/>
              </w:rPr>
              <w:t>模型主要以截图呈现，缺完整输入</w:t>
            </w:r>
            <w:r>
              <w:rPr>
                <w:sz w:val="16"/>
              </w:rPr>
              <w:t>/</w:t>
            </w:r>
            <w:r>
              <w:rPr>
                <w:sz w:val="16"/>
              </w:rPr>
              <w:t>输出、边界条件、网格敏感性和极值统计说明。</w:t>
            </w:r>
            <w:r>
              <w:rPr>
                <w:sz w:val="16"/>
              </w:rPr>
              <w:br/>
              <w:t>SWAN results are mainly screenshots; complete inputs/outputs, boundary conditions, grid sensitivity, and extreme value methodology are missing.</w:t>
            </w:r>
          </w:p>
        </w:tc>
        <w:tc>
          <w:tcPr>
            <w:tcW w:w="3742" w:type="dxa"/>
            <w:tcMar>
              <w:top w:w="100" w:type="dxa"/>
              <w:left w:w="100" w:type="dxa"/>
              <w:bottom w:w="100" w:type="dxa"/>
              <w:right w:w="100" w:type="dxa"/>
            </w:tcMar>
            <w:vAlign w:val="center"/>
          </w:tcPr>
          <w:p w14:paraId="3B87F39B" w14:textId="77777777" w:rsidR="000B523B" w:rsidRDefault="00D70404">
            <w:pPr>
              <w:spacing w:line="276" w:lineRule="auto"/>
            </w:pPr>
            <w:r>
              <w:rPr>
                <w:sz w:val="16"/>
              </w:rPr>
              <w:t>提交</w:t>
            </w:r>
            <w:r>
              <w:rPr>
                <w:sz w:val="16"/>
              </w:rPr>
              <w:t>SWAN</w:t>
            </w:r>
            <w:r>
              <w:rPr>
                <w:sz w:val="16"/>
              </w:rPr>
              <w:t>工程包、</w:t>
            </w:r>
            <w:r>
              <w:rPr>
                <w:sz w:val="16"/>
              </w:rPr>
              <w:t>bathymetry</w:t>
            </w:r>
            <w:r>
              <w:rPr>
                <w:sz w:val="16"/>
              </w:rPr>
              <w:t>、网格、风场、极值分布、置信区间和复核记录。</w:t>
            </w:r>
            <w:r>
              <w:rPr>
                <w:sz w:val="16"/>
              </w:rPr>
              <w:br/>
              <w:t>Submit the SWAN model package, bathymetry, grids, wind fields, extreme value distribution, confidence intervals, and review logs.</w:t>
            </w:r>
          </w:p>
        </w:tc>
        <w:tc>
          <w:tcPr>
            <w:tcW w:w="1304" w:type="dxa"/>
            <w:tcMar>
              <w:top w:w="100" w:type="dxa"/>
              <w:left w:w="100" w:type="dxa"/>
              <w:bottom w:w="100" w:type="dxa"/>
              <w:right w:w="100" w:type="dxa"/>
            </w:tcMar>
            <w:vAlign w:val="center"/>
          </w:tcPr>
          <w:p w14:paraId="69994351" w14:textId="77777777" w:rsidR="000B523B" w:rsidRDefault="00D70404">
            <w:pPr>
              <w:spacing w:line="276" w:lineRule="auto"/>
            </w:pPr>
            <w:r>
              <w:rPr>
                <w:sz w:val="17"/>
              </w:rPr>
              <w:t>p.26-p.30</w:t>
            </w:r>
          </w:p>
        </w:tc>
      </w:tr>
      <w:tr w:rsidR="000B523B" w14:paraId="54D31DD7" w14:textId="77777777">
        <w:tc>
          <w:tcPr>
            <w:tcW w:w="624" w:type="dxa"/>
            <w:tcMar>
              <w:top w:w="100" w:type="dxa"/>
              <w:left w:w="100" w:type="dxa"/>
              <w:bottom w:w="100" w:type="dxa"/>
              <w:right w:w="100" w:type="dxa"/>
            </w:tcMar>
            <w:vAlign w:val="center"/>
          </w:tcPr>
          <w:p w14:paraId="3B6AA27B" w14:textId="77777777" w:rsidR="000B523B" w:rsidRDefault="00D70404">
            <w:pPr>
              <w:spacing w:line="276" w:lineRule="auto"/>
            </w:pPr>
            <w:r>
              <w:rPr>
                <w:sz w:val="17"/>
              </w:rPr>
              <w:t>6</w:t>
            </w:r>
          </w:p>
        </w:tc>
        <w:tc>
          <w:tcPr>
            <w:tcW w:w="4082" w:type="dxa"/>
            <w:tcMar>
              <w:top w:w="100" w:type="dxa"/>
              <w:left w:w="100" w:type="dxa"/>
              <w:bottom w:w="100" w:type="dxa"/>
              <w:right w:w="100" w:type="dxa"/>
            </w:tcMar>
            <w:vAlign w:val="center"/>
          </w:tcPr>
          <w:p w14:paraId="04E812DE" w14:textId="77777777" w:rsidR="000B523B" w:rsidRDefault="00D70404">
            <w:pPr>
              <w:spacing w:line="276" w:lineRule="auto"/>
            </w:pPr>
            <w:r>
              <w:rPr>
                <w:sz w:val="16"/>
              </w:rPr>
              <w:t>设计波高口径不一致：</w:t>
            </w:r>
            <w:r>
              <w:rPr>
                <w:sz w:val="16"/>
              </w:rPr>
              <w:t>100</w:t>
            </w:r>
            <w:r>
              <w:rPr>
                <w:sz w:val="16"/>
              </w:rPr>
              <w:t>年约</w:t>
            </w:r>
            <w:r>
              <w:rPr>
                <w:sz w:val="16"/>
              </w:rPr>
              <w:t>0.225m</w:t>
            </w:r>
            <w:r>
              <w:rPr>
                <w:sz w:val="16"/>
              </w:rPr>
              <w:t>，推荐设计波</w:t>
            </w:r>
            <w:r>
              <w:rPr>
                <w:sz w:val="16"/>
              </w:rPr>
              <w:t>0.249m</w:t>
            </w:r>
            <w:r>
              <w:rPr>
                <w:sz w:val="16"/>
              </w:rPr>
              <w:t>，但</w:t>
            </w:r>
            <w:r>
              <w:rPr>
                <w:sz w:val="16"/>
              </w:rPr>
              <w:t>ALS</w:t>
            </w:r>
            <w:r>
              <w:rPr>
                <w:sz w:val="16"/>
              </w:rPr>
              <w:t>章节仍用</w:t>
            </w:r>
            <w:r>
              <w:rPr>
                <w:sz w:val="16"/>
              </w:rPr>
              <w:t>0.23m</w:t>
            </w:r>
            <w:r>
              <w:rPr>
                <w:sz w:val="16"/>
              </w:rPr>
              <w:t>。</w:t>
            </w:r>
            <w:r>
              <w:rPr>
                <w:sz w:val="16"/>
              </w:rPr>
              <w:br/>
              <w:t>Design wave values are inconsistent: 100-year wave is about 0.225m, recommended design wave is 0.249m, but ALS still uses 0.23m.</w:t>
            </w:r>
          </w:p>
        </w:tc>
        <w:tc>
          <w:tcPr>
            <w:tcW w:w="3742" w:type="dxa"/>
            <w:tcMar>
              <w:top w:w="100" w:type="dxa"/>
              <w:left w:w="100" w:type="dxa"/>
              <w:bottom w:w="100" w:type="dxa"/>
              <w:right w:w="100" w:type="dxa"/>
            </w:tcMar>
            <w:vAlign w:val="center"/>
          </w:tcPr>
          <w:p w14:paraId="56287B61" w14:textId="77777777" w:rsidR="000B523B" w:rsidRDefault="00D70404">
            <w:pPr>
              <w:spacing w:line="276" w:lineRule="auto"/>
            </w:pPr>
            <w:r>
              <w:rPr>
                <w:sz w:val="16"/>
              </w:rPr>
              <w:t>统一</w:t>
            </w:r>
            <w:r>
              <w:rPr>
                <w:sz w:val="16"/>
              </w:rPr>
              <w:t>Design Wave</w:t>
            </w:r>
            <w:r>
              <w:rPr>
                <w:sz w:val="16"/>
              </w:rPr>
              <w:t>：建议按</w:t>
            </w:r>
            <w:r>
              <w:rPr>
                <w:sz w:val="16"/>
              </w:rPr>
              <w:t>0.249m</w:t>
            </w:r>
            <w:r>
              <w:rPr>
                <w:sz w:val="16"/>
              </w:rPr>
              <w:t>或更高</w:t>
            </w:r>
            <w:r>
              <w:rPr>
                <w:sz w:val="16"/>
              </w:rPr>
              <w:t>IE</w:t>
            </w:r>
            <w:r>
              <w:rPr>
                <w:sz w:val="16"/>
              </w:rPr>
              <w:t>认可包络值进入设计基准。</w:t>
            </w:r>
            <w:r>
              <w:rPr>
                <w:sz w:val="16"/>
              </w:rPr>
              <w:br/>
              <w:t>Unify the Design Wave; use 0.249m or a higher IE-approved envelope in the design basis.</w:t>
            </w:r>
          </w:p>
        </w:tc>
        <w:tc>
          <w:tcPr>
            <w:tcW w:w="1304" w:type="dxa"/>
            <w:tcMar>
              <w:top w:w="100" w:type="dxa"/>
              <w:left w:w="100" w:type="dxa"/>
              <w:bottom w:w="100" w:type="dxa"/>
              <w:right w:w="100" w:type="dxa"/>
            </w:tcMar>
            <w:vAlign w:val="center"/>
          </w:tcPr>
          <w:p w14:paraId="6A1222EF" w14:textId="77777777" w:rsidR="000B523B" w:rsidRDefault="00D70404">
            <w:pPr>
              <w:spacing w:line="276" w:lineRule="auto"/>
            </w:pPr>
            <w:r>
              <w:rPr>
                <w:sz w:val="17"/>
              </w:rPr>
              <w:t>Fig.4-9; Ch.6.4; Ch.6.9</w:t>
            </w:r>
          </w:p>
        </w:tc>
      </w:tr>
      <w:tr w:rsidR="000B523B" w14:paraId="37E7EF07" w14:textId="77777777">
        <w:tc>
          <w:tcPr>
            <w:tcW w:w="624" w:type="dxa"/>
            <w:tcMar>
              <w:top w:w="100" w:type="dxa"/>
              <w:left w:w="100" w:type="dxa"/>
              <w:bottom w:w="100" w:type="dxa"/>
              <w:right w:w="100" w:type="dxa"/>
            </w:tcMar>
            <w:vAlign w:val="center"/>
          </w:tcPr>
          <w:p w14:paraId="422C93FA" w14:textId="77777777" w:rsidR="000B523B" w:rsidRDefault="00D70404">
            <w:pPr>
              <w:spacing w:line="276" w:lineRule="auto"/>
            </w:pPr>
            <w:r>
              <w:rPr>
                <w:sz w:val="17"/>
              </w:rPr>
              <w:t>7</w:t>
            </w:r>
          </w:p>
        </w:tc>
        <w:tc>
          <w:tcPr>
            <w:tcW w:w="4082" w:type="dxa"/>
            <w:tcMar>
              <w:top w:w="100" w:type="dxa"/>
              <w:left w:w="100" w:type="dxa"/>
              <w:bottom w:w="100" w:type="dxa"/>
              <w:right w:w="100" w:type="dxa"/>
            </w:tcMar>
            <w:vAlign w:val="center"/>
          </w:tcPr>
          <w:p w14:paraId="4335B39D" w14:textId="77777777" w:rsidR="000B523B" w:rsidRDefault="00D70404">
            <w:pPr>
              <w:spacing w:line="276" w:lineRule="auto"/>
            </w:pPr>
            <w:r>
              <w:rPr>
                <w:sz w:val="16"/>
              </w:rPr>
              <w:t>水文流速计算过于简化，只按</w:t>
            </w:r>
            <w:r>
              <w:rPr>
                <w:sz w:val="16"/>
              </w:rPr>
              <w:t>10,000m3/s</w:t>
            </w:r>
            <w:r>
              <w:rPr>
                <w:sz w:val="16"/>
              </w:rPr>
              <w:t>、</w:t>
            </w:r>
            <w:r>
              <w:rPr>
                <w:sz w:val="16"/>
              </w:rPr>
              <w:t>20km</w:t>
            </w:r>
            <w:r>
              <w:rPr>
                <w:sz w:val="16"/>
              </w:rPr>
              <w:t>宽、上层</w:t>
            </w:r>
            <w:r>
              <w:rPr>
                <w:sz w:val="16"/>
              </w:rPr>
              <w:t>1m</w:t>
            </w:r>
            <w:r>
              <w:rPr>
                <w:sz w:val="16"/>
              </w:rPr>
              <w:t>估算</w:t>
            </w:r>
            <w:r>
              <w:rPr>
                <w:sz w:val="16"/>
              </w:rPr>
              <w:t>0.5m/s</w:t>
            </w:r>
            <w:r>
              <w:rPr>
                <w:sz w:val="16"/>
              </w:rPr>
              <w:t>。</w:t>
            </w:r>
            <w:r>
              <w:rPr>
                <w:sz w:val="16"/>
              </w:rPr>
              <w:br/>
              <w:t>Hydrological current calculation is oversimplified, using only 10,000m3/s, 20km width, and top 1m depth to estimate 0.5m/s.</w:t>
            </w:r>
          </w:p>
        </w:tc>
        <w:tc>
          <w:tcPr>
            <w:tcW w:w="3742" w:type="dxa"/>
            <w:tcMar>
              <w:top w:w="100" w:type="dxa"/>
              <w:left w:w="100" w:type="dxa"/>
              <w:bottom w:w="100" w:type="dxa"/>
              <w:right w:w="100" w:type="dxa"/>
            </w:tcMar>
            <w:vAlign w:val="center"/>
          </w:tcPr>
          <w:p w14:paraId="7E38670C" w14:textId="77777777" w:rsidR="000B523B" w:rsidRDefault="00D70404">
            <w:pPr>
              <w:spacing w:line="276" w:lineRule="auto"/>
            </w:pPr>
            <w:r>
              <w:rPr>
                <w:sz w:val="16"/>
              </w:rPr>
              <w:t>补二维</w:t>
            </w:r>
            <w:r>
              <w:rPr>
                <w:sz w:val="16"/>
              </w:rPr>
              <w:t>/</w:t>
            </w:r>
            <w:r>
              <w:rPr>
                <w:sz w:val="16"/>
              </w:rPr>
              <w:t>三维流场校核、设计水位范围、漂浮物风险和施工期水文约束。</w:t>
            </w:r>
            <w:r>
              <w:rPr>
                <w:sz w:val="16"/>
              </w:rPr>
              <w:br/>
              <w:t>Add 2D/3D current checks, design water-level range, debris risk, and construction hydrology constraints.</w:t>
            </w:r>
          </w:p>
        </w:tc>
        <w:tc>
          <w:tcPr>
            <w:tcW w:w="1304" w:type="dxa"/>
            <w:tcMar>
              <w:top w:w="100" w:type="dxa"/>
              <w:left w:w="100" w:type="dxa"/>
              <w:bottom w:w="100" w:type="dxa"/>
              <w:right w:w="100" w:type="dxa"/>
            </w:tcMar>
            <w:vAlign w:val="center"/>
          </w:tcPr>
          <w:p w14:paraId="54D62F78" w14:textId="77777777" w:rsidR="000B523B" w:rsidRDefault="00D70404">
            <w:pPr>
              <w:spacing w:line="276" w:lineRule="auto"/>
            </w:pPr>
            <w:r>
              <w:rPr>
                <w:sz w:val="17"/>
              </w:rPr>
              <w:t>Ch.5; p.30</w:t>
            </w:r>
          </w:p>
        </w:tc>
      </w:tr>
      <w:tr w:rsidR="000B523B" w14:paraId="7B58A788" w14:textId="77777777">
        <w:tc>
          <w:tcPr>
            <w:tcW w:w="624" w:type="dxa"/>
            <w:tcMar>
              <w:top w:w="100" w:type="dxa"/>
              <w:left w:w="100" w:type="dxa"/>
              <w:bottom w:w="100" w:type="dxa"/>
              <w:right w:w="100" w:type="dxa"/>
            </w:tcMar>
            <w:vAlign w:val="center"/>
          </w:tcPr>
          <w:p w14:paraId="57C9B09D" w14:textId="77777777" w:rsidR="000B523B" w:rsidRDefault="00D70404">
            <w:pPr>
              <w:spacing w:line="276" w:lineRule="auto"/>
            </w:pPr>
            <w:commentRangeStart w:id="4"/>
            <w:r>
              <w:rPr>
                <w:sz w:val="17"/>
              </w:rPr>
              <w:t>8</w:t>
            </w:r>
          </w:p>
        </w:tc>
        <w:tc>
          <w:tcPr>
            <w:tcW w:w="4082" w:type="dxa"/>
            <w:tcMar>
              <w:top w:w="100" w:type="dxa"/>
              <w:left w:w="100" w:type="dxa"/>
              <w:bottom w:w="100" w:type="dxa"/>
              <w:right w:w="100" w:type="dxa"/>
            </w:tcMar>
            <w:vAlign w:val="center"/>
          </w:tcPr>
          <w:p w14:paraId="6F896567" w14:textId="77777777" w:rsidR="000B523B" w:rsidRDefault="00D70404">
            <w:pPr>
              <w:spacing w:line="276" w:lineRule="auto"/>
            </w:pPr>
            <w:r>
              <w:rPr>
                <w:sz w:val="16"/>
              </w:rPr>
              <w:t>结构章节偏通用，缺锚泊、地勘、疲劳、动态电缆、施工临时状态专项设计。</w:t>
            </w:r>
            <w:r>
              <w:rPr>
                <w:sz w:val="16"/>
              </w:rPr>
              <w:br/>
              <w:t>Structural criteria are generic and lack dedicated mooring, geotechnical, fatigue, dynamic cable, and temporary construction state design.</w:t>
            </w:r>
            <w:commentRangeEnd w:id="4"/>
            <w:r w:rsidR="00114A59">
              <w:rPr>
                <w:rStyle w:val="CommentReference"/>
                <w:sz w:val="21"/>
                <w:szCs w:val="22"/>
              </w:rPr>
              <w:commentReference w:id="4"/>
            </w:r>
          </w:p>
        </w:tc>
        <w:tc>
          <w:tcPr>
            <w:tcW w:w="3742" w:type="dxa"/>
            <w:tcMar>
              <w:top w:w="100" w:type="dxa"/>
              <w:left w:w="100" w:type="dxa"/>
              <w:bottom w:w="100" w:type="dxa"/>
              <w:right w:w="100" w:type="dxa"/>
            </w:tcMar>
            <w:vAlign w:val="center"/>
          </w:tcPr>
          <w:p w14:paraId="05040F9E" w14:textId="77777777" w:rsidR="000B523B" w:rsidRDefault="00D70404">
            <w:pPr>
              <w:spacing w:line="276" w:lineRule="auto"/>
            </w:pPr>
            <w:r>
              <w:rPr>
                <w:sz w:val="16"/>
              </w:rPr>
              <w:t>将锚泊</w:t>
            </w:r>
            <w:r>
              <w:rPr>
                <w:sz w:val="16"/>
              </w:rPr>
              <w:t>/</w:t>
            </w:r>
            <w:r>
              <w:rPr>
                <w:sz w:val="16"/>
              </w:rPr>
              <w:t>锚固地勘</w:t>
            </w:r>
            <w:r>
              <w:rPr>
                <w:sz w:val="16"/>
              </w:rPr>
              <w:t>/</w:t>
            </w:r>
            <w:r>
              <w:rPr>
                <w:sz w:val="16"/>
              </w:rPr>
              <w:t>浮体连接</w:t>
            </w:r>
            <w:r>
              <w:rPr>
                <w:sz w:val="16"/>
              </w:rPr>
              <w:t>/</w:t>
            </w:r>
            <w:r>
              <w:rPr>
                <w:sz w:val="16"/>
              </w:rPr>
              <w:t>动态电缆作为融资前关闭条件或</w:t>
            </w:r>
            <w:r>
              <w:rPr>
                <w:sz w:val="16"/>
              </w:rPr>
              <w:t>EPC</w:t>
            </w:r>
            <w:r>
              <w:rPr>
                <w:sz w:val="16"/>
              </w:rPr>
              <w:t>除外项。</w:t>
            </w:r>
            <w:r>
              <w:rPr>
                <w:sz w:val="16"/>
              </w:rPr>
              <w:br/>
              <w:t>Make mooring, anchor geotechnics, float connections, and dynamic cable studies conditions precedent or EPC exclusions.</w:t>
            </w:r>
          </w:p>
        </w:tc>
        <w:tc>
          <w:tcPr>
            <w:tcW w:w="1304" w:type="dxa"/>
            <w:tcMar>
              <w:top w:w="100" w:type="dxa"/>
              <w:left w:w="100" w:type="dxa"/>
              <w:bottom w:w="100" w:type="dxa"/>
              <w:right w:w="100" w:type="dxa"/>
            </w:tcMar>
            <w:vAlign w:val="center"/>
          </w:tcPr>
          <w:p w14:paraId="07D7C2CB" w14:textId="77777777" w:rsidR="000B523B" w:rsidRDefault="00D70404">
            <w:pPr>
              <w:spacing w:line="276" w:lineRule="auto"/>
            </w:pPr>
            <w:r>
              <w:rPr>
                <w:sz w:val="17"/>
              </w:rPr>
              <w:t>Ch.6; p.31-p.37</w:t>
            </w:r>
          </w:p>
        </w:tc>
      </w:tr>
      <w:tr w:rsidR="000B523B" w14:paraId="443DE61B" w14:textId="77777777">
        <w:tc>
          <w:tcPr>
            <w:tcW w:w="624" w:type="dxa"/>
            <w:tcMar>
              <w:top w:w="100" w:type="dxa"/>
              <w:left w:w="100" w:type="dxa"/>
              <w:bottom w:w="100" w:type="dxa"/>
              <w:right w:w="100" w:type="dxa"/>
            </w:tcMar>
            <w:vAlign w:val="center"/>
          </w:tcPr>
          <w:p w14:paraId="131FF8AE" w14:textId="77777777" w:rsidR="000B523B" w:rsidRDefault="00D70404">
            <w:pPr>
              <w:spacing w:line="276" w:lineRule="auto"/>
            </w:pPr>
            <w:r>
              <w:rPr>
                <w:sz w:val="17"/>
              </w:rPr>
              <w:t>9</w:t>
            </w:r>
          </w:p>
        </w:tc>
        <w:tc>
          <w:tcPr>
            <w:tcW w:w="4082" w:type="dxa"/>
            <w:tcMar>
              <w:top w:w="100" w:type="dxa"/>
              <w:left w:w="100" w:type="dxa"/>
              <w:bottom w:w="100" w:type="dxa"/>
              <w:right w:w="100" w:type="dxa"/>
            </w:tcMar>
            <w:vAlign w:val="center"/>
          </w:tcPr>
          <w:p w14:paraId="4C93F0D2" w14:textId="77777777" w:rsidR="000B523B" w:rsidRDefault="00D70404">
            <w:pPr>
              <w:spacing w:line="276" w:lineRule="auto"/>
            </w:pPr>
            <w:commentRangeStart w:id="5"/>
            <w:r>
              <w:rPr>
                <w:sz w:val="16"/>
              </w:rPr>
              <w:t>融资技术资料包不完整，缺</w:t>
            </w:r>
            <w:r>
              <w:rPr>
                <w:sz w:val="16"/>
              </w:rPr>
              <w:t>Energy Yield</w:t>
            </w:r>
            <w:r>
              <w:rPr>
                <w:sz w:val="16"/>
              </w:rPr>
              <w:t>、并网、</w:t>
            </w:r>
            <w:r>
              <w:rPr>
                <w:sz w:val="16"/>
              </w:rPr>
              <w:t>ESIA</w:t>
            </w:r>
            <w:r>
              <w:rPr>
                <w:sz w:val="16"/>
              </w:rPr>
              <w:t>、许可、</w:t>
            </w:r>
            <w:r>
              <w:rPr>
                <w:sz w:val="16"/>
              </w:rPr>
              <w:t>O&amp;M</w:t>
            </w:r>
            <w:r>
              <w:rPr>
                <w:sz w:val="16"/>
              </w:rPr>
              <w:t>、设备</w:t>
            </w:r>
            <w:r>
              <w:rPr>
                <w:sz w:val="16"/>
              </w:rPr>
              <w:t>bankability</w:t>
            </w:r>
            <w:r>
              <w:rPr>
                <w:sz w:val="16"/>
              </w:rPr>
              <w:t>等关键文件。</w:t>
            </w:r>
            <w:r>
              <w:rPr>
                <w:sz w:val="16"/>
              </w:rPr>
              <w:br/>
              <w:t>The financing technical package is incomplete: missing energy yield, grid, ESIA, permits, O&amp;M, and equipment bankability items.</w:t>
            </w:r>
            <w:commentRangeEnd w:id="5"/>
            <w:r w:rsidR="00114A59">
              <w:rPr>
                <w:rStyle w:val="CommentReference"/>
                <w:sz w:val="21"/>
                <w:szCs w:val="22"/>
              </w:rPr>
              <w:commentReference w:id="5"/>
            </w:r>
          </w:p>
        </w:tc>
        <w:tc>
          <w:tcPr>
            <w:tcW w:w="3742" w:type="dxa"/>
            <w:tcMar>
              <w:top w:w="100" w:type="dxa"/>
              <w:left w:w="100" w:type="dxa"/>
              <w:bottom w:w="100" w:type="dxa"/>
              <w:right w:w="100" w:type="dxa"/>
            </w:tcMar>
            <w:vAlign w:val="center"/>
          </w:tcPr>
          <w:p w14:paraId="628A7850" w14:textId="77777777" w:rsidR="000B523B" w:rsidRDefault="00D70404">
            <w:pPr>
              <w:spacing w:line="276" w:lineRule="auto"/>
            </w:pPr>
            <w:r>
              <w:rPr>
                <w:sz w:val="16"/>
              </w:rPr>
              <w:t>建立融资</w:t>
            </w:r>
            <w:r>
              <w:rPr>
                <w:sz w:val="16"/>
              </w:rPr>
              <w:t>DD</w:t>
            </w:r>
            <w:r>
              <w:rPr>
                <w:sz w:val="16"/>
              </w:rPr>
              <w:t>清单并明确每项责任方、状态和关闭日期。</w:t>
            </w:r>
            <w:r>
              <w:rPr>
                <w:sz w:val="16"/>
              </w:rPr>
              <w:br/>
              <w:t>Prepare a financing DD checklist with owner, status, and close-out date for each item.</w:t>
            </w:r>
          </w:p>
        </w:tc>
        <w:tc>
          <w:tcPr>
            <w:tcW w:w="1304" w:type="dxa"/>
            <w:tcMar>
              <w:top w:w="100" w:type="dxa"/>
              <w:left w:w="100" w:type="dxa"/>
              <w:bottom w:w="100" w:type="dxa"/>
              <w:right w:w="100" w:type="dxa"/>
            </w:tcMar>
            <w:vAlign w:val="center"/>
          </w:tcPr>
          <w:p w14:paraId="75366E99" w14:textId="77777777" w:rsidR="000B523B" w:rsidRDefault="00D70404">
            <w:pPr>
              <w:spacing w:line="276" w:lineRule="auto"/>
            </w:pPr>
            <w:r>
              <w:rPr>
                <w:sz w:val="17"/>
              </w:rPr>
              <w:t>Whole report</w:t>
            </w:r>
          </w:p>
        </w:tc>
      </w:tr>
      <w:tr w:rsidR="000B523B" w14:paraId="2B313AED" w14:textId="77777777">
        <w:tc>
          <w:tcPr>
            <w:tcW w:w="624" w:type="dxa"/>
            <w:tcMar>
              <w:top w:w="100" w:type="dxa"/>
              <w:left w:w="100" w:type="dxa"/>
              <w:bottom w:w="100" w:type="dxa"/>
              <w:right w:w="100" w:type="dxa"/>
            </w:tcMar>
            <w:vAlign w:val="center"/>
          </w:tcPr>
          <w:p w14:paraId="15B183D6" w14:textId="77777777" w:rsidR="000B523B" w:rsidRDefault="00D70404">
            <w:pPr>
              <w:spacing w:line="276" w:lineRule="auto"/>
            </w:pPr>
            <w:r>
              <w:rPr>
                <w:sz w:val="17"/>
              </w:rPr>
              <w:t>10</w:t>
            </w:r>
          </w:p>
        </w:tc>
        <w:tc>
          <w:tcPr>
            <w:tcW w:w="4082" w:type="dxa"/>
            <w:tcMar>
              <w:top w:w="100" w:type="dxa"/>
              <w:left w:w="100" w:type="dxa"/>
              <w:bottom w:w="100" w:type="dxa"/>
              <w:right w:w="100" w:type="dxa"/>
            </w:tcMar>
            <w:vAlign w:val="center"/>
          </w:tcPr>
          <w:p w14:paraId="561B5D0B" w14:textId="77777777" w:rsidR="000B523B" w:rsidRDefault="00D70404">
            <w:pPr>
              <w:spacing w:line="276" w:lineRule="auto"/>
            </w:pPr>
            <w:r>
              <w:rPr>
                <w:sz w:val="16"/>
              </w:rPr>
              <w:t>报告</w:t>
            </w:r>
            <w:r>
              <w:rPr>
                <w:sz w:val="16"/>
              </w:rPr>
              <w:t>QA</w:t>
            </w:r>
            <w:r>
              <w:rPr>
                <w:sz w:val="16"/>
              </w:rPr>
              <w:t>问题较多：</w:t>
            </w:r>
            <w:r>
              <w:rPr>
                <w:sz w:val="16"/>
              </w:rPr>
              <w:t>Rev/Draft/RevC</w:t>
            </w:r>
            <w:r>
              <w:rPr>
                <w:sz w:val="16"/>
              </w:rPr>
              <w:t>混用、签字不完整、账号密码写入报告、若干措辞不够正式。</w:t>
            </w:r>
            <w:r>
              <w:rPr>
                <w:sz w:val="16"/>
              </w:rPr>
              <w:br/>
              <w:t>Document QA issues: mixed Rev/Draft/RevC references, incomplete signatures, login credentials included, and informal wording.</w:t>
            </w:r>
          </w:p>
        </w:tc>
        <w:tc>
          <w:tcPr>
            <w:tcW w:w="3742" w:type="dxa"/>
            <w:tcMar>
              <w:top w:w="100" w:type="dxa"/>
              <w:left w:w="100" w:type="dxa"/>
              <w:bottom w:w="100" w:type="dxa"/>
              <w:right w:w="100" w:type="dxa"/>
            </w:tcMar>
            <w:vAlign w:val="center"/>
          </w:tcPr>
          <w:p w14:paraId="72CD4097" w14:textId="77777777" w:rsidR="000B523B" w:rsidRDefault="00D70404">
            <w:pPr>
              <w:spacing w:line="276" w:lineRule="auto"/>
            </w:pPr>
            <w:r>
              <w:rPr>
                <w:sz w:val="16"/>
              </w:rPr>
              <w:t>发布融资版</w:t>
            </w:r>
            <w:r>
              <w:rPr>
                <w:sz w:val="16"/>
              </w:rPr>
              <w:t>clean final report</w:t>
            </w:r>
            <w:r>
              <w:rPr>
                <w:sz w:val="16"/>
              </w:rPr>
              <w:t>，删除敏感账号信息，统一编号、签署、术语和交叉引用。</w:t>
            </w:r>
            <w:r>
              <w:rPr>
                <w:sz w:val="16"/>
              </w:rPr>
              <w:br/>
              <w:t>Issue a clean financing final report; remove credentials and harmonize numbering, signatures, terminology, and cross-references.</w:t>
            </w:r>
          </w:p>
        </w:tc>
        <w:tc>
          <w:tcPr>
            <w:tcW w:w="1304" w:type="dxa"/>
            <w:tcMar>
              <w:top w:w="100" w:type="dxa"/>
              <w:left w:w="100" w:type="dxa"/>
              <w:bottom w:w="100" w:type="dxa"/>
              <w:right w:w="100" w:type="dxa"/>
            </w:tcMar>
            <w:vAlign w:val="center"/>
          </w:tcPr>
          <w:p w14:paraId="4733D9A4" w14:textId="77777777" w:rsidR="000B523B" w:rsidRDefault="00D70404">
            <w:pPr>
              <w:spacing w:line="276" w:lineRule="auto"/>
            </w:pPr>
            <w:r>
              <w:rPr>
                <w:sz w:val="17"/>
              </w:rPr>
              <w:t>p.i; p.ii; p.13; throughout</w:t>
            </w:r>
          </w:p>
        </w:tc>
      </w:tr>
    </w:tbl>
    <w:p w14:paraId="1AAE617A" w14:textId="77777777" w:rsidR="000B523B" w:rsidRDefault="00D70404">
      <w:pPr>
        <w:pStyle w:val="Heading1"/>
      </w:pPr>
      <w:r>
        <w:rPr>
          <w:rFonts w:ascii="Arial" w:eastAsia="Microsoft YaHei" w:hAnsi="Arial"/>
        </w:rPr>
        <w:t>三、详细问题说明</w:t>
      </w:r>
      <w:r>
        <w:rPr>
          <w:rFonts w:ascii="Arial" w:hAnsi="Arial"/>
          <w:i/>
          <w:color w:val="595959"/>
          <w:sz w:val="20"/>
        </w:rPr>
        <w:br/>
        <w:t>3. Detailed Issue Notes</w:t>
      </w:r>
    </w:p>
    <w:p w14:paraId="2EDE54D2" w14:textId="77777777" w:rsidR="000B523B" w:rsidRDefault="00D70404">
      <w:pPr>
        <w:pStyle w:val="Heading2"/>
      </w:pPr>
      <w:r>
        <w:rPr>
          <w:rFonts w:ascii="Arial" w:eastAsia="Microsoft YaHei" w:hAnsi="Arial"/>
        </w:rPr>
        <w:t xml:space="preserve">1. </w:t>
      </w:r>
      <w:r>
        <w:rPr>
          <w:rFonts w:ascii="Arial" w:eastAsia="Microsoft YaHei" w:hAnsi="Arial"/>
        </w:rPr>
        <w:t>报告用途与融资</w:t>
      </w:r>
      <w:r>
        <w:rPr>
          <w:rFonts w:ascii="Arial" w:eastAsia="Microsoft YaHei" w:hAnsi="Arial"/>
        </w:rPr>
        <w:t>/EPC</w:t>
      </w:r>
      <w:r>
        <w:rPr>
          <w:rFonts w:ascii="Arial" w:eastAsia="Microsoft YaHei" w:hAnsi="Arial"/>
        </w:rPr>
        <w:t>用途不匹配</w:t>
      </w:r>
      <w:r>
        <w:rPr>
          <w:rFonts w:ascii="Arial" w:hAnsi="Arial"/>
          <w:i/>
          <w:color w:val="595959"/>
          <w:sz w:val="18"/>
        </w:rPr>
        <w:br/>
        <w:t>Report purpose is not aligned with financing and EPC reliance</w:t>
      </w:r>
    </w:p>
    <w:p w14:paraId="2268CB6A" w14:textId="77777777" w:rsidR="000B523B" w:rsidRDefault="00D70404">
      <w:pPr>
        <w:spacing w:after="120"/>
      </w:pPr>
      <w:r>
        <w:t>问题依据：报告写明主要用于保险尽调和承保审查，结论强调可保性和低环境荷载。</w:t>
      </w:r>
      <w:r>
        <w:rPr>
          <w:i/>
          <w:color w:val="595959"/>
          <w:sz w:val="19"/>
        </w:rPr>
        <w:br/>
        <w:t>Evidence: The report states that it is mainly prepared for insurance due diligence and underwriting, and its conclusion is framed around insurability and low environmental loading.</w:t>
      </w:r>
    </w:p>
    <w:p w14:paraId="29507428" w14:textId="77777777" w:rsidR="000B523B" w:rsidRDefault="00D70404">
      <w:pPr>
        <w:spacing w:after="120"/>
      </w:pPr>
      <w:r>
        <w:lastRenderedPageBreak/>
        <w:t>EPC</w:t>
      </w:r>
      <w:r>
        <w:t>影响：它不能替代完整的融资技术尽调，也不能自动成为</w:t>
      </w:r>
      <w:r>
        <w:t>EPC</w:t>
      </w:r>
      <w:r>
        <w:t>固定总价和性能担保的最终依据。</w:t>
      </w:r>
      <w:r>
        <w:rPr>
          <w:i/>
          <w:color w:val="595959"/>
          <w:sz w:val="19"/>
        </w:rPr>
        <w:br/>
        <w:t>EPC impact: It cannot replace a full financing technical due diligence report and should not automatically become the final basis for EPC lump-sum pricing and performance guarantees.</w:t>
      </w:r>
    </w:p>
    <w:p w14:paraId="0E84E36C" w14:textId="77777777" w:rsidR="000B523B" w:rsidRDefault="00D70404">
      <w:pPr>
        <w:spacing w:after="120"/>
      </w:pPr>
      <w:r>
        <w:t>建议要求：要求业主</w:t>
      </w:r>
      <w:r>
        <w:t>/</w:t>
      </w:r>
      <w:r>
        <w:t>顾问补充一版融资版</w:t>
      </w:r>
      <w:r>
        <w:t>Design Basis Addendum</w:t>
      </w:r>
      <w:r>
        <w:t>，并由</w:t>
      </w:r>
      <w:r>
        <w:t>Independent Engineer</w:t>
      </w:r>
      <w:r>
        <w:t>确认</w:t>
      </w:r>
      <w:r>
        <w:t>EPC</w:t>
      </w:r>
      <w:r>
        <w:t>可依赖范围。</w:t>
      </w:r>
      <w:r>
        <w:rPr>
          <w:i/>
          <w:color w:val="595959"/>
          <w:sz w:val="19"/>
        </w:rPr>
        <w:br/>
        <w:t>Required action: Require an owner/consultant-issued financing Design Basis Addendum, with the Independent Engineer confirming the extent of EPC reliance.</w:t>
      </w:r>
    </w:p>
    <w:p w14:paraId="1B156540" w14:textId="77777777" w:rsidR="000B523B" w:rsidRDefault="00D70404">
      <w:pPr>
        <w:pStyle w:val="Heading2"/>
      </w:pPr>
      <w:r>
        <w:rPr>
          <w:rFonts w:ascii="Arial" w:eastAsia="Microsoft YaHei" w:hAnsi="Arial"/>
        </w:rPr>
        <w:t xml:space="preserve">2. </w:t>
      </w:r>
      <w:r>
        <w:rPr>
          <w:rFonts w:ascii="Arial" w:eastAsia="Microsoft YaHei" w:hAnsi="Arial"/>
        </w:rPr>
        <w:t>现场数据和验证数据不足</w:t>
      </w:r>
      <w:r>
        <w:rPr>
          <w:rFonts w:ascii="Arial" w:hAnsi="Arial"/>
          <w:i/>
          <w:color w:val="595959"/>
          <w:sz w:val="18"/>
        </w:rPr>
        <w:br/>
        <w:t>Insufficient site measurements and validation data</w:t>
      </w:r>
    </w:p>
    <w:p w14:paraId="1EDA18E0" w14:textId="77777777" w:rsidR="000B523B" w:rsidRDefault="00D70404">
      <w:pPr>
        <w:spacing w:after="120"/>
      </w:pPr>
      <w:r>
        <w:t>问题依据：报告显示现场气象站数据仅约一周至两周，</w:t>
      </w:r>
      <w:r>
        <w:t>Lake Harvest</w:t>
      </w:r>
      <w:r>
        <w:t>数据待补，</w:t>
      </w:r>
      <w:r>
        <w:t>Padenga</w:t>
      </w:r>
      <w:r>
        <w:t>缺风速，机场数据只有</w:t>
      </w:r>
      <w:r>
        <w:t>2001-2005</w:t>
      </w:r>
      <w:r>
        <w:t>，且地面验证相关系数为</w:t>
      </w:r>
      <w:r>
        <w:t>0.40</w:t>
      </w:r>
      <w:r>
        <w:t>。</w:t>
      </w:r>
      <w:r>
        <w:rPr>
          <w:i/>
          <w:color w:val="595959"/>
          <w:sz w:val="19"/>
        </w:rPr>
        <w:br/>
        <w:t>Evidence: The report indicates only about one to two weeks of on-site weather data, Lake Harvest data pending, Padenga without wind speed, airport data only from 2001-2005, and a ground-validation correlation coefficient of 0.40.</w:t>
      </w:r>
    </w:p>
    <w:p w14:paraId="2FF90DF0" w14:textId="77777777" w:rsidR="000B523B" w:rsidRDefault="00D70404">
      <w:pPr>
        <w:spacing w:after="120"/>
      </w:pPr>
      <w:r>
        <w:t>EPC</w:t>
      </w:r>
      <w:r>
        <w:t>影响：对于融资和</w:t>
      </w:r>
      <w:r>
        <w:t>EPC</w:t>
      </w:r>
      <w:r>
        <w:t>，局地极端风、季节性高风、地形加速效应仍未充分消除不确定性。</w:t>
      </w:r>
      <w:r>
        <w:rPr>
          <w:i/>
          <w:color w:val="595959"/>
          <w:sz w:val="19"/>
        </w:rPr>
        <w:br/>
        <w:t>EPC impact: For financing and EPC, uncertainty remains around local extreme wind, seasonal high-wind periods, and topographic acceleration effects.</w:t>
      </w:r>
    </w:p>
    <w:p w14:paraId="00986B63" w14:textId="77777777" w:rsidR="000B523B" w:rsidRDefault="00D70404">
      <w:pPr>
        <w:spacing w:after="120"/>
      </w:pPr>
      <w:r>
        <w:t>建议要求：至少补高风季现场测风；若融资时间不允许，应由</w:t>
      </w:r>
      <w:r>
        <w:t>IE</w:t>
      </w:r>
      <w:r>
        <w:t>批准替代方法，并将超出设计基准列为变更事件。</w:t>
      </w:r>
      <w:r>
        <w:rPr>
          <w:i/>
          <w:color w:val="595959"/>
          <w:sz w:val="19"/>
        </w:rPr>
        <w:br/>
        <w:t xml:space="preserve">Required action: At </w:t>
      </w:r>
      <w:r w:rsidRPr="00114A59">
        <w:rPr>
          <w:i/>
          <w:color w:val="595959"/>
          <w:sz w:val="19"/>
          <w:highlight w:val="yellow"/>
        </w:rPr>
        <w:t>minimum, add high-wind-season measurements</w:t>
      </w:r>
      <w:r>
        <w:rPr>
          <w:i/>
          <w:color w:val="595959"/>
          <w:sz w:val="19"/>
        </w:rPr>
        <w:t xml:space="preserve">; if the financing schedule does not allow it, the </w:t>
      </w:r>
      <w:r w:rsidRPr="00114A59">
        <w:rPr>
          <w:i/>
          <w:color w:val="595959"/>
          <w:sz w:val="19"/>
          <w:highlight w:val="yellow"/>
        </w:rPr>
        <w:t>IE should approve an alternative</w:t>
      </w:r>
      <w:r>
        <w:rPr>
          <w:i/>
          <w:color w:val="595959"/>
          <w:sz w:val="19"/>
        </w:rPr>
        <w:t xml:space="preserve"> method and any exceedance of the design basis should be treated as a change event.</w:t>
      </w:r>
    </w:p>
    <w:p w14:paraId="725C551B" w14:textId="77777777" w:rsidR="000B523B" w:rsidRDefault="00D70404">
      <w:pPr>
        <w:pStyle w:val="Heading2"/>
      </w:pPr>
      <w:r>
        <w:rPr>
          <w:rFonts w:ascii="Arial" w:eastAsia="Microsoft YaHei" w:hAnsi="Arial"/>
        </w:rPr>
        <w:t xml:space="preserve">3. </w:t>
      </w:r>
      <w:r>
        <w:rPr>
          <w:rFonts w:ascii="Arial" w:eastAsia="Microsoft YaHei" w:hAnsi="Arial"/>
        </w:rPr>
        <w:t>去偏系数降低设计输入</w:t>
      </w:r>
      <w:r>
        <w:rPr>
          <w:rFonts w:ascii="Arial" w:hAnsi="Arial"/>
          <w:i/>
          <w:color w:val="595959"/>
          <w:sz w:val="18"/>
        </w:rPr>
        <w:br/>
        <w:t>Bias correction reduces design input</w:t>
      </w:r>
    </w:p>
    <w:p w14:paraId="5B39EA17" w14:textId="77777777" w:rsidR="000B523B" w:rsidRDefault="00D70404">
      <w:pPr>
        <w:spacing w:after="120"/>
      </w:pPr>
      <w:r>
        <w:t>问题依据：报告将</w:t>
      </w:r>
      <w:r>
        <w:t>ERA5</w:t>
      </w:r>
      <w:r>
        <w:t>风速乘以</w:t>
      </w:r>
      <w:r>
        <w:t>0.718</w:t>
      </w:r>
      <w:r>
        <w:t>以匹配</w:t>
      </w:r>
      <w:r>
        <w:t>CCMP</w:t>
      </w:r>
      <w:r>
        <w:t>。该方法可能用于统计校正，但从</w:t>
      </w:r>
      <w:r>
        <w:t>EPC</w:t>
      </w:r>
      <w:r>
        <w:t>安全包络看，它降低了输入荷载。</w:t>
      </w:r>
      <w:r>
        <w:rPr>
          <w:i/>
          <w:color w:val="595959"/>
          <w:sz w:val="19"/>
        </w:rPr>
        <w:br/>
        <w:t>Evidence: The report multiplies ERA5 wind speed by 0.718 to match CCMP. This may be statistically valid, but from an EPC safety-envelope perspective it reduces input loads.</w:t>
      </w:r>
    </w:p>
    <w:p w14:paraId="57D64E58" w14:textId="77777777" w:rsidR="000B523B" w:rsidRDefault="00D70404">
      <w:pPr>
        <w:spacing w:after="120"/>
      </w:pPr>
      <w:r>
        <w:t>EPC</w:t>
      </w:r>
      <w:r>
        <w:t>影响：如无未修正工况、上包络工况和敏感性分析，</w:t>
      </w:r>
      <w:r>
        <w:t>EPC</w:t>
      </w:r>
      <w:r>
        <w:t>承担的极端风浪风险边界不清楚。</w:t>
      </w:r>
      <w:r>
        <w:rPr>
          <w:i/>
          <w:color w:val="595959"/>
          <w:sz w:val="19"/>
        </w:rPr>
        <w:br/>
        <w:t>EPC impact: Without raw, upper-envelope, and sensitivity cases, the boundary of EPC exposure to extreme wind and wave risk remains unclear.</w:t>
      </w:r>
    </w:p>
    <w:p w14:paraId="53886594" w14:textId="77777777" w:rsidR="000B523B" w:rsidRDefault="00D70404">
      <w:pPr>
        <w:spacing w:after="120"/>
      </w:pPr>
      <w:r>
        <w:t>建议要求：要求提交原始</w:t>
      </w:r>
      <w:r>
        <w:t>ERA5</w:t>
      </w:r>
      <w:r>
        <w:t>、修正</w:t>
      </w:r>
      <w:r>
        <w:t>ERA5</w:t>
      </w:r>
      <w:r>
        <w:t>、</w:t>
      </w:r>
      <w:r>
        <w:t>CCMP</w:t>
      </w:r>
      <w:r>
        <w:t>、现场数据及设计上包络对比表，并将</w:t>
      </w:r>
      <w:r>
        <w:t>IE</w:t>
      </w:r>
      <w:r>
        <w:t>认可包络值写入</w:t>
      </w:r>
      <w:r>
        <w:t>Design Basis</w:t>
      </w:r>
      <w:r>
        <w:t>。</w:t>
      </w:r>
      <w:r>
        <w:rPr>
          <w:i/>
          <w:color w:val="595959"/>
          <w:sz w:val="19"/>
        </w:rPr>
        <w:br/>
      </w:r>
      <w:commentRangeStart w:id="6"/>
      <w:r>
        <w:rPr>
          <w:i/>
          <w:color w:val="595959"/>
          <w:sz w:val="19"/>
        </w:rPr>
        <w:t>Required action: Require a comparison of raw ERA5, corrected ERA5, CCMP, site data, and design upper-envelope cases, and include the IE-approved envelope in the Design Basis.</w:t>
      </w:r>
      <w:commentRangeEnd w:id="6"/>
      <w:r w:rsidR="00114A59">
        <w:rPr>
          <w:rStyle w:val="CommentReference"/>
          <w:sz w:val="21"/>
          <w:szCs w:val="22"/>
        </w:rPr>
        <w:commentReference w:id="6"/>
      </w:r>
    </w:p>
    <w:p w14:paraId="32ADAFEA" w14:textId="77777777" w:rsidR="000B523B" w:rsidRDefault="00D70404">
      <w:pPr>
        <w:pStyle w:val="Heading2"/>
      </w:pPr>
      <w:r>
        <w:rPr>
          <w:rFonts w:ascii="Arial" w:eastAsia="Microsoft YaHei" w:hAnsi="Arial"/>
        </w:rPr>
        <w:t>4. SWAN</w:t>
      </w:r>
      <w:r>
        <w:rPr>
          <w:rFonts w:ascii="Arial" w:eastAsia="Microsoft YaHei" w:hAnsi="Arial"/>
        </w:rPr>
        <w:t>模型可复核性不足</w:t>
      </w:r>
      <w:r>
        <w:rPr>
          <w:rFonts w:ascii="Arial" w:hAnsi="Arial"/>
          <w:i/>
          <w:color w:val="595959"/>
          <w:sz w:val="18"/>
        </w:rPr>
        <w:br/>
        <w:t>SWAN model is not sufficiently auditable</w:t>
      </w:r>
    </w:p>
    <w:p w14:paraId="4C4272FB" w14:textId="77777777" w:rsidR="000B523B" w:rsidRDefault="00D70404">
      <w:pPr>
        <w:spacing w:after="120"/>
      </w:pPr>
      <w:r>
        <w:t>问题依据：报告的</w:t>
      </w:r>
      <w:r>
        <w:t>SWAN</w:t>
      </w:r>
      <w:r>
        <w:t>结果主要为软件界面截图，未附完整模型文件、边界条件、</w:t>
      </w:r>
      <w:r>
        <w:t>bathymetry</w:t>
      </w:r>
      <w:r>
        <w:t>来源、网格敏感性、极值分布方法和置信区间。</w:t>
      </w:r>
      <w:r>
        <w:rPr>
          <w:i/>
          <w:color w:val="595959"/>
          <w:sz w:val="19"/>
        </w:rPr>
        <w:br/>
      </w:r>
      <w:commentRangeStart w:id="7"/>
      <w:r>
        <w:rPr>
          <w:i/>
          <w:color w:val="595959"/>
          <w:sz w:val="19"/>
        </w:rPr>
        <w:t>Evidence: The SWAN results are mainly presented as software screenshots, without complete model files, boundary conditions, bathymetry source, grid sensitivity, extreme value method, or confidence intervals.</w:t>
      </w:r>
      <w:commentRangeEnd w:id="7"/>
      <w:r w:rsidR="00114A59">
        <w:rPr>
          <w:rStyle w:val="CommentReference"/>
          <w:sz w:val="21"/>
          <w:szCs w:val="22"/>
        </w:rPr>
        <w:commentReference w:id="7"/>
      </w:r>
    </w:p>
    <w:p w14:paraId="2C41F242" w14:textId="77777777" w:rsidR="000B523B" w:rsidRDefault="00D70404">
      <w:pPr>
        <w:spacing w:after="120"/>
      </w:pPr>
      <w:r>
        <w:t>EPC</w:t>
      </w:r>
      <w:r>
        <w:t>影响：银行</w:t>
      </w:r>
      <w:r>
        <w:t>IE</w:t>
      </w:r>
      <w:r>
        <w:t>和</w:t>
      </w:r>
      <w:r>
        <w:t>EPC</w:t>
      </w:r>
      <w:r>
        <w:t>设计团队无法独立复核；若后期发现模型假设有误，责任容易转嫁给</w:t>
      </w:r>
      <w:r>
        <w:t>EPC</w:t>
      </w:r>
      <w:r>
        <w:t>。</w:t>
      </w:r>
      <w:r>
        <w:rPr>
          <w:i/>
          <w:color w:val="595959"/>
          <w:sz w:val="19"/>
        </w:rPr>
        <w:br/>
        <w:t>EPC impact: The lender's IE and EPC design team cannot independently audit the model; if model assumptions prove wrong later, responsibility may shift to EPC.</w:t>
      </w:r>
    </w:p>
    <w:p w14:paraId="78F7971A" w14:textId="77777777" w:rsidR="000B523B" w:rsidRDefault="00D70404">
      <w:pPr>
        <w:spacing w:after="120"/>
      </w:pPr>
      <w:r>
        <w:t>建议要求：要求提交完整</w:t>
      </w:r>
      <w:r>
        <w:t>SWAN model package</w:t>
      </w:r>
      <w:r>
        <w:t>，并在合同中约定业主对模型资料的准确性负责。</w:t>
      </w:r>
      <w:r>
        <w:rPr>
          <w:i/>
          <w:color w:val="595959"/>
          <w:sz w:val="19"/>
        </w:rPr>
        <w:br/>
        <w:t>Required action: Require the full SWAN model package and state in the contract that the owner is responsible for the accuracy of the modelling information.</w:t>
      </w:r>
    </w:p>
    <w:p w14:paraId="4D6CCB70" w14:textId="77777777" w:rsidR="000B523B" w:rsidRDefault="00D70404">
      <w:pPr>
        <w:pStyle w:val="Heading2"/>
      </w:pPr>
      <w:r>
        <w:rPr>
          <w:rFonts w:ascii="Arial" w:eastAsia="Microsoft YaHei" w:hAnsi="Arial"/>
        </w:rPr>
        <w:t xml:space="preserve">5. </w:t>
      </w:r>
      <w:r>
        <w:rPr>
          <w:rFonts w:ascii="Arial" w:eastAsia="Microsoft YaHei" w:hAnsi="Arial"/>
        </w:rPr>
        <w:t>设计波高和荷载基准不统一</w:t>
      </w:r>
      <w:r>
        <w:rPr>
          <w:rFonts w:ascii="Arial" w:hAnsi="Arial"/>
          <w:i/>
          <w:color w:val="595959"/>
          <w:sz w:val="18"/>
        </w:rPr>
        <w:br/>
        <w:t>Design wave and load basis are inconsistent</w:t>
      </w:r>
    </w:p>
    <w:p w14:paraId="61C55F6D" w14:textId="77777777" w:rsidR="000B523B" w:rsidRDefault="00D70404">
      <w:pPr>
        <w:spacing w:after="120"/>
      </w:pPr>
      <w:r>
        <w:t>问题依据：图</w:t>
      </w:r>
      <w:r>
        <w:t>4-9</w:t>
      </w:r>
      <w:r>
        <w:t>显示推荐设计波高</w:t>
      </w:r>
      <w:r>
        <w:t>0.249m</w:t>
      </w:r>
      <w:r>
        <w:t>，但结构章节使用</w:t>
      </w:r>
      <w:r>
        <w:t>50</w:t>
      </w:r>
      <w:r>
        <w:t>年</w:t>
      </w:r>
      <w:r>
        <w:t>0.22m</w:t>
      </w:r>
      <w:r>
        <w:t>、</w:t>
      </w:r>
      <w:r>
        <w:t>100</w:t>
      </w:r>
      <w:r>
        <w:t>年</w:t>
      </w:r>
      <w:r>
        <w:t>0.23m</w:t>
      </w:r>
      <w:r>
        <w:t>，</w:t>
      </w:r>
      <w:r>
        <w:t>ALS</w:t>
      </w:r>
      <w:r>
        <w:t>采用</w:t>
      </w:r>
      <w:r>
        <w:t>0.23m</w:t>
      </w:r>
      <w:r>
        <w:t>。</w:t>
      </w:r>
      <w:r>
        <w:rPr>
          <w:i/>
          <w:color w:val="595959"/>
          <w:sz w:val="19"/>
        </w:rPr>
        <w:br/>
        <w:t>Evidence: Figure 4-9 shows a recommended design wave of 0.249m, while the structural chapter uses 0.22m for 50-year, 0.23m for 100-year, and 0.23m for ALS.</w:t>
      </w:r>
    </w:p>
    <w:p w14:paraId="6BEACD55" w14:textId="77777777" w:rsidR="000B523B" w:rsidRDefault="00D70404">
      <w:pPr>
        <w:spacing w:after="120"/>
      </w:pPr>
      <w:r>
        <w:t>EPC</w:t>
      </w:r>
      <w:r>
        <w:t>影响：不同设计团队或供应商可能采用不同值，导致浮体、连接件、锚泊和保险审批不一致。</w:t>
      </w:r>
      <w:r>
        <w:rPr>
          <w:i/>
          <w:color w:val="595959"/>
          <w:sz w:val="19"/>
        </w:rPr>
        <w:br/>
        <w:t>EPC impact: Different design teams or suppliers may use different values, creating inconsistency in floats, connections, mooring, and insurance approval.</w:t>
      </w:r>
    </w:p>
    <w:p w14:paraId="29D435EF" w14:textId="77777777" w:rsidR="000B523B" w:rsidRDefault="00D70404">
      <w:pPr>
        <w:spacing w:after="120"/>
      </w:pPr>
      <w:r>
        <w:t>建议要求：在融资版</w:t>
      </w:r>
      <w:r>
        <w:t>Design Basis</w:t>
      </w:r>
      <w:r>
        <w:t>中统一风、浪、流、组合、</w:t>
      </w:r>
      <w:r>
        <w:t>SLS/ULS/ALS</w:t>
      </w:r>
      <w:r>
        <w:t>、施工工况和安全系数。</w:t>
      </w:r>
      <w:r>
        <w:rPr>
          <w:i/>
          <w:color w:val="595959"/>
          <w:sz w:val="19"/>
        </w:rPr>
        <w:br/>
        <w:t>Required action: Unify wind, wave, current, combinations, SLS/ULS/ALS, construction cases, and safety factors in the financing Design Basis.</w:t>
      </w:r>
    </w:p>
    <w:p w14:paraId="4D25D5A2" w14:textId="77777777" w:rsidR="000B523B" w:rsidRDefault="00D70404">
      <w:pPr>
        <w:pStyle w:val="Heading2"/>
      </w:pPr>
      <w:r>
        <w:rPr>
          <w:rFonts w:ascii="Arial" w:eastAsia="Microsoft YaHei" w:hAnsi="Arial"/>
        </w:rPr>
        <w:t xml:space="preserve">6. </w:t>
      </w:r>
      <w:r>
        <w:rPr>
          <w:rFonts w:ascii="Arial" w:eastAsia="Microsoft YaHei" w:hAnsi="Arial"/>
        </w:rPr>
        <w:t>水文与施工期风险覆盖不足</w:t>
      </w:r>
      <w:r>
        <w:rPr>
          <w:rFonts w:ascii="Arial" w:hAnsi="Arial"/>
          <w:i/>
          <w:color w:val="595959"/>
          <w:sz w:val="18"/>
        </w:rPr>
        <w:br/>
        <w:t>Hydrology and construction-period risks are insufficiently covered</w:t>
      </w:r>
    </w:p>
    <w:p w14:paraId="3F819074" w14:textId="77777777" w:rsidR="000B523B" w:rsidRDefault="00D70404">
      <w:pPr>
        <w:spacing w:after="120"/>
      </w:pPr>
      <w:r>
        <w:t>问题依据：水流估算采用非常简化的宽度和流深假设，未见局部流场、库水位变动、泄洪工况、漂浮物、波流耦合和施工期限制。</w:t>
      </w:r>
      <w:r>
        <w:rPr>
          <w:i/>
          <w:color w:val="595959"/>
          <w:sz w:val="19"/>
        </w:rPr>
        <w:br/>
        <w:t>Evidence: The current estimate uses simplified width and flow-depth assumptions, without local current fields, reservoir-level variation, spillway scenarios, debris, wave-current interaction, or construction restrictions.</w:t>
      </w:r>
    </w:p>
    <w:p w14:paraId="688F7B7E" w14:textId="77777777" w:rsidR="000B523B" w:rsidRDefault="00D70404">
      <w:pPr>
        <w:spacing w:after="120"/>
      </w:pPr>
      <w:r>
        <w:t>EPC</w:t>
      </w:r>
      <w:r>
        <w:t>影响：</w:t>
      </w:r>
      <w:r>
        <w:t>FSPV</w:t>
      </w:r>
      <w:r>
        <w:t>的实际风险常出现在安装、拖运、锚泊张拉、动态电缆和极端水位期间。</w:t>
      </w:r>
      <w:r>
        <w:rPr>
          <w:i/>
          <w:color w:val="595959"/>
          <w:sz w:val="19"/>
        </w:rPr>
        <w:br/>
        <w:t>EPC impact: Actual FSPV risk often appears during installation, towing, mooring tensioning, dynamic cable operation, and extreme water levels.</w:t>
      </w:r>
    </w:p>
    <w:p w14:paraId="63818A4E" w14:textId="77777777" w:rsidR="000B523B" w:rsidRDefault="00D70404">
      <w:pPr>
        <w:spacing w:after="120"/>
      </w:pPr>
      <w:r>
        <w:t>建议要求：补充水文设计基准、施工窗口、漂浮物防护和临时工程控制措施。</w:t>
      </w:r>
      <w:r>
        <w:rPr>
          <w:i/>
          <w:color w:val="595959"/>
          <w:sz w:val="19"/>
        </w:rPr>
        <w:br/>
        <w:t>Required action: Add a hydrological design basis, construction windows, debris protection, and temporary works controls.</w:t>
      </w:r>
    </w:p>
    <w:p w14:paraId="7BA3C400" w14:textId="77777777" w:rsidR="000B523B" w:rsidRDefault="00D70404">
      <w:pPr>
        <w:pStyle w:val="Heading2"/>
      </w:pPr>
      <w:r>
        <w:rPr>
          <w:rFonts w:ascii="Arial" w:eastAsia="Microsoft YaHei" w:hAnsi="Arial"/>
        </w:rPr>
        <w:t xml:space="preserve">7. </w:t>
      </w:r>
      <w:r>
        <w:rPr>
          <w:rFonts w:ascii="Arial" w:eastAsia="Microsoft YaHei" w:hAnsi="Arial"/>
        </w:rPr>
        <w:t>融资技术尽调范围不完整</w:t>
      </w:r>
      <w:r>
        <w:rPr>
          <w:rFonts w:ascii="Arial" w:hAnsi="Arial"/>
          <w:i/>
          <w:color w:val="595959"/>
          <w:sz w:val="18"/>
        </w:rPr>
        <w:br/>
        <w:t>Financing technical due diligence scope is incomplete</w:t>
      </w:r>
    </w:p>
    <w:p w14:paraId="54A322E5" w14:textId="77777777" w:rsidR="000B523B" w:rsidRDefault="00D70404">
      <w:pPr>
        <w:spacing w:after="120"/>
      </w:pPr>
      <w:r>
        <w:t>问题依据：报告没有覆盖能源产出、组件</w:t>
      </w:r>
      <w:r>
        <w:t>/</w:t>
      </w:r>
      <w:r>
        <w:t>逆变器</w:t>
      </w:r>
      <w:r>
        <w:t>/</w:t>
      </w:r>
      <w:r>
        <w:t>浮体供应商</w:t>
      </w:r>
      <w:r>
        <w:t>bankability</w:t>
      </w:r>
      <w:r>
        <w:t>、并网研究、</w:t>
      </w:r>
      <w:r>
        <w:t>ESIA</w:t>
      </w:r>
      <w:r>
        <w:t>、许可、</w:t>
      </w:r>
      <w:r>
        <w:t>O&amp;M</w:t>
      </w:r>
      <w:r>
        <w:t>、保险条款、项目接口矩阵等融资核心资料。</w:t>
      </w:r>
      <w:r>
        <w:rPr>
          <w:i/>
          <w:color w:val="595959"/>
          <w:sz w:val="19"/>
        </w:rPr>
        <w:br/>
        <w:t>Evidence: The report does not cover energy yield, module/inverter/floater bankability, grid studies, ESIA, permits, O&amp;M, insurance terms, or project interface matrix.</w:t>
      </w:r>
    </w:p>
    <w:p w14:paraId="117E7E71" w14:textId="77777777" w:rsidR="000B523B" w:rsidRDefault="00D70404">
      <w:pPr>
        <w:spacing w:after="120"/>
      </w:pPr>
      <w:r>
        <w:t>EPC</w:t>
      </w:r>
      <w:r>
        <w:t>影响：这意味着该报告只能作为风浪专题附件，不能作为</w:t>
      </w:r>
      <w:r>
        <w:t>financial close</w:t>
      </w:r>
      <w:r>
        <w:t>的完整技术基础。</w:t>
      </w:r>
      <w:r>
        <w:rPr>
          <w:i/>
          <w:color w:val="595959"/>
          <w:sz w:val="19"/>
        </w:rPr>
        <w:br/>
        <w:t>EPC impact: This means the report can only serve as a wind/wave technical appendix, not the complete technical basis for financial close.</w:t>
      </w:r>
    </w:p>
    <w:p w14:paraId="3CC560F6" w14:textId="77777777" w:rsidR="000B523B" w:rsidRDefault="00D70404">
      <w:pPr>
        <w:spacing w:after="120"/>
      </w:pPr>
      <w:r>
        <w:t>建议要求：建立融资</w:t>
      </w:r>
      <w:r>
        <w:t>DD</w:t>
      </w:r>
      <w:r>
        <w:t>资料清单，明确每份报告的责任方、版本、是否</w:t>
      </w:r>
      <w:r>
        <w:t>IE</w:t>
      </w:r>
      <w:r>
        <w:t>认可、是否</w:t>
      </w:r>
      <w:r>
        <w:t>EPC</w:t>
      </w:r>
      <w:r>
        <w:t>可依赖。</w:t>
      </w:r>
      <w:r>
        <w:rPr>
          <w:i/>
          <w:color w:val="595959"/>
          <w:sz w:val="19"/>
        </w:rPr>
        <w:br/>
        <w:t>Required action: Prepare a financing DD register showing owner, version, IE approval status, and whether EPC can rely on each document.</w:t>
      </w:r>
    </w:p>
    <w:p w14:paraId="7B2581C6" w14:textId="77777777" w:rsidR="000B523B" w:rsidRDefault="00D70404">
      <w:pPr>
        <w:pStyle w:val="Heading2"/>
      </w:pPr>
      <w:r>
        <w:rPr>
          <w:rFonts w:ascii="Arial" w:eastAsia="Microsoft YaHei" w:hAnsi="Arial"/>
        </w:rPr>
        <w:t xml:space="preserve">8. </w:t>
      </w:r>
      <w:r>
        <w:rPr>
          <w:rFonts w:ascii="Arial" w:eastAsia="Microsoft YaHei" w:hAnsi="Arial"/>
        </w:rPr>
        <w:t>文件质量和正式性需要提升</w:t>
      </w:r>
      <w:r>
        <w:rPr>
          <w:rFonts w:ascii="Arial" w:hAnsi="Arial"/>
          <w:i/>
          <w:color w:val="595959"/>
          <w:sz w:val="18"/>
        </w:rPr>
        <w:br/>
        <w:t>Document quality and formality need improvement</w:t>
      </w:r>
    </w:p>
    <w:p w14:paraId="68F082E9" w14:textId="77777777" w:rsidR="000B523B" w:rsidRDefault="00D70404">
      <w:pPr>
        <w:spacing w:after="120"/>
      </w:pPr>
      <w:r>
        <w:t>问题依据：文件存在容量表述、版本号、签署、敏感账号信息和部分非正式措辞问题。</w:t>
      </w:r>
      <w:r>
        <w:rPr>
          <w:i/>
          <w:color w:val="595959"/>
          <w:sz w:val="19"/>
        </w:rPr>
        <w:br/>
        <w:t>Evidence: The document contains issues with capacity description, revision references, signatures, sensitive login credentials, and informal wording.</w:t>
      </w:r>
    </w:p>
    <w:p w14:paraId="6DDB19C1" w14:textId="77777777" w:rsidR="000B523B" w:rsidRDefault="00D70404">
      <w:pPr>
        <w:spacing w:after="120"/>
      </w:pPr>
      <w:r>
        <w:t>EPC</w:t>
      </w:r>
      <w:r>
        <w:t>影响：融资方会把这些视为</w:t>
      </w:r>
      <w:r>
        <w:t>QA</w:t>
      </w:r>
      <w:r>
        <w:t>不足，影响对顾问成果和项目管理成熟度的信心。</w:t>
      </w:r>
      <w:r>
        <w:rPr>
          <w:i/>
          <w:color w:val="595959"/>
          <w:sz w:val="19"/>
        </w:rPr>
        <w:br/>
        <w:t>EPC impact: Financing parties may treat these as QA weaknesses, reducing confidence in consultant deliverables and project management maturity.</w:t>
      </w:r>
    </w:p>
    <w:p w14:paraId="0977FDA6" w14:textId="77777777" w:rsidR="000B523B" w:rsidRDefault="00D70404">
      <w:pPr>
        <w:spacing w:after="120"/>
      </w:pPr>
      <w:r>
        <w:t>建议要求：出具</w:t>
      </w:r>
      <w:r>
        <w:t>clean final</w:t>
      </w:r>
      <w:r>
        <w:t>版本，统一项目容量、标题、页眉页脚、交叉引用、签字页和附件清单。</w:t>
      </w:r>
      <w:r>
        <w:rPr>
          <w:i/>
          <w:color w:val="595959"/>
          <w:sz w:val="19"/>
        </w:rPr>
        <w:br/>
        <w:t>Required action: Issue a clean final version with consistent capacity, title, headers/footers, cross-references, signature page, and appendices.</w:t>
      </w:r>
    </w:p>
    <w:p w14:paraId="5B4A7895" w14:textId="77777777" w:rsidR="000B523B" w:rsidRDefault="00D70404">
      <w:r>
        <w:br w:type="page"/>
      </w:r>
    </w:p>
    <w:p w14:paraId="5300DD92" w14:textId="77777777" w:rsidR="000B523B" w:rsidRDefault="00D70404">
      <w:pPr>
        <w:pStyle w:val="Heading1"/>
      </w:pPr>
      <w:r>
        <w:rPr>
          <w:rFonts w:ascii="Arial" w:eastAsia="Microsoft YaHei" w:hAnsi="Arial"/>
        </w:rPr>
        <w:t>四、</w:t>
      </w:r>
      <w:r>
        <w:rPr>
          <w:rFonts w:ascii="Arial" w:eastAsia="Microsoft YaHei" w:hAnsi="Arial"/>
        </w:rPr>
        <w:t>EPC</w:t>
      </w:r>
      <w:r>
        <w:rPr>
          <w:rFonts w:ascii="Arial" w:eastAsia="Microsoft YaHei" w:hAnsi="Arial"/>
        </w:rPr>
        <w:t>建议回复口径</w:t>
      </w:r>
      <w:r>
        <w:rPr>
          <w:rFonts w:ascii="Arial" w:hAnsi="Arial"/>
          <w:i/>
          <w:color w:val="595959"/>
          <w:sz w:val="20"/>
        </w:rPr>
        <w:br/>
        <w:t>4. Recommended EPC Response Wording</w:t>
      </w:r>
    </w:p>
    <w:p w14:paraId="63410407" w14:textId="77777777" w:rsidR="000B523B" w:rsidRDefault="00D70404">
      <w:pPr>
        <w:spacing w:after="120"/>
      </w:pPr>
      <w:r>
        <w:rPr>
          <w:b/>
        </w:rPr>
        <w:t>建议回复业主</w:t>
      </w:r>
      <w:r>
        <w:rPr>
          <w:b/>
        </w:rPr>
        <w:t>/</w:t>
      </w:r>
      <w:r>
        <w:rPr>
          <w:b/>
        </w:rPr>
        <w:t>融资方时采用以下口径：</w:t>
      </w:r>
      <w:r>
        <w:rPr>
          <w:i/>
          <w:color w:val="595959"/>
          <w:sz w:val="19"/>
        </w:rPr>
        <w:br/>
        <w:t>The following wording is recommended when responding to the owner or financing parties:</w:t>
      </w:r>
    </w:p>
    <w:p w14:paraId="50446027" w14:textId="77777777" w:rsidR="000B523B" w:rsidRDefault="00D70404">
      <w:pPr>
        <w:spacing w:after="120"/>
      </w:pPr>
      <w:r>
        <w:t>中文：本报告可作为项目风、浪及水文环境初步判断和保险沟通的支持文件。</w:t>
      </w:r>
      <w:r>
        <w:t>EPC</w:t>
      </w:r>
      <w:r>
        <w:t>原则上认可其低环境荷载的总体趋势，但本报告尚不足以作为固定总价、固定工期、性能担保及全部设计责任的唯一依据。</w:t>
      </w:r>
      <w:r>
        <w:t>EPC</w:t>
      </w:r>
      <w:r>
        <w:t>最终责任应以经独立工程师确认的设计基准、完整模型资料、现场补充实测、锚泊及地勘专项设计、浮体供应商设计确认、并网及许可条件为准。如后续资料或实测结果超过本报告假设，应视为业主资料变化并相应调整价格、工期和技术方案。</w:t>
      </w:r>
    </w:p>
    <w:p w14:paraId="6A298950" w14:textId="77777777" w:rsidR="000B523B" w:rsidRDefault="00D70404">
      <w:pPr>
        <w:spacing w:after="120"/>
      </w:pPr>
      <w:r>
        <w:t>English: This report may be used as supporting information for preliminary assessment of wind, wave, and hydrological conditions and for insurance discussions. EPC generally acknowledges the overall indication of low environmental loading. However, the report is not sufficient as the sole basis for lump-sum price, fixed schedule, performance guarantees, or full design responsibility. EPC's final obligations should be based on an Independent Engineer-approved design basis, complete modelling records, supplemental site measurements, dedicated mooring and geotechnical design, floater supplier confirmation, and grid/permitting conditions. If subsequent data or measurements exceed the assumptions in this report, such exceedance should be treated as a change in owner-provided information, with corresponding adjustment to price, schedule, and technical solution.</w:t>
      </w:r>
    </w:p>
    <w:p w14:paraId="5685B766" w14:textId="77777777" w:rsidR="000B523B" w:rsidRDefault="00D70404">
      <w:pPr>
        <w:pStyle w:val="Heading1"/>
      </w:pPr>
      <w:r>
        <w:rPr>
          <w:rFonts w:ascii="Arial" w:eastAsia="Microsoft YaHei" w:hAnsi="Arial"/>
        </w:rPr>
        <w:t>五、融资前建议关闭事项</w:t>
      </w:r>
      <w:r>
        <w:rPr>
          <w:rFonts w:ascii="Arial" w:hAnsi="Arial"/>
          <w:i/>
          <w:color w:val="595959"/>
          <w:sz w:val="20"/>
        </w:rPr>
        <w:br/>
        <w:t>5. Recommended Conditions Before Financial Close</w:t>
      </w:r>
    </w:p>
    <w:p w14:paraId="62D9AF20" w14:textId="77777777" w:rsidR="000B523B" w:rsidRDefault="00D70404">
      <w:pPr>
        <w:pStyle w:val="ListBullet"/>
        <w:spacing w:after="60" w:line="269" w:lineRule="auto"/>
      </w:pPr>
      <w:r>
        <w:rPr>
          <w:sz w:val="20"/>
        </w:rPr>
        <w:t>融资版</w:t>
      </w:r>
      <w:r>
        <w:rPr>
          <w:sz w:val="20"/>
        </w:rPr>
        <w:t>Design Basis Addendum</w:t>
      </w:r>
      <w:r>
        <w:rPr>
          <w:sz w:val="20"/>
        </w:rPr>
        <w:t>，由业主</w:t>
      </w:r>
      <w:r>
        <w:rPr>
          <w:sz w:val="20"/>
        </w:rPr>
        <w:t>/</w:t>
      </w:r>
      <w:r>
        <w:rPr>
          <w:sz w:val="20"/>
        </w:rPr>
        <w:t>顾问签发并经</w:t>
      </w:r>
      <w:r>
        <w:rPr>
          <w:sz w:val="20"/>
        </w:rPr>
        <w:t>IE</w:t>
      </w:r>
      <w:r>
        <w:rPr>
          <w:sz w:val="20"/>
        </w:rPr>
        <w:t>审查。</w:t>
      </w:r>
      <w:r>
        <w:rPr>
          <w:i/>
          <w:color w:val="595959"/>
          <w:sz w:val="18"/>
        </w:rPr>
        <w:br/>
        <w:t>Financing Design Basis Addendum issued by owner/consultant and reviewed by IE.</w:t>
      </w:r>
    </w:p>
    <w:p w14:paraId="54204E1E" w14:textId="77777777" w:rsidR="000B523B" w:rsidRDefault="00D70404">
      <w:pPr>
        <w:pStyle w:val="ListBullet"/>
        <w:spacing w:after="60" w:line="269" w:lineRule="auto"/>
      </w:pPr>
      <w:r>
        <w:rPr>
          <w:sz w:val="20"/>
        </w:rPr>
        <w:t>完整</w:t>
      </w:r>
      <w:r>
        <w:rPr>
          <w:sz w:val="20"/>
        </w:rPr>
        <w:t>SWAN</w:t>
      </w:r>
      <w:r>
        <w:rPr>
          <w:sz w:val="20"/>
        </w:rPr>
        <w:t>模型包、</w:t>
      </w:r>
      <w:r>
        <w:rPr>
          <w:sz w:val="20"/>
        </w:rPr>
        <w:t>bathymetry</w:t>
      </w:r>
      <w:r>
        <w:rPr>
          <w:sz w:val="20"/>
        </w:rPr>
        <w:t>、风场输入、极值分析和敏感性分析。</w:t>
      </w:r>
      <w:r>
        <w:rPr>
          <w:i/>
          <w:color w:val="595959"/>
          <w:sz w:val="18"/>
        </w:rPr>
        <w:br/>
        <w:t>Complete SWAN model package, bathymetry, wind inputs, extreme value analysis, and sensitivity analysis.</w:t>
      </w:r>
    </w:p>
    <w:p w14:paraId="7661B986" w14:textId="77777777" w:rsidR="000B523B" w:rsidRDefault="00D70404">
      <w:pPr>
        <w:pStyle w:val="ListBullet"/>
        <w:spacing w:after="60" w:line="269" w:lineRule="auto"/>
      </w:pPr>
      <w:r>
        <w:rPr>
          <w:sz w:val="20"/>
        </w:rPr>
        <w:t>补充现场测风，至少覆盖高风季；如不能完成，取得</w:t>
      </w:r>
      <w:r>
        <w:rPr>
          <w:sz w:val="20"/>
        </w:rPr>
        <w:t>IE</w:t>
      </w:r>
      <w:r>
        <w:rPr>
          <w:sz w:val="20"/>
        </w:rPr>
        <w:t>书面认可替代方法。</w:t>
      </w:r>
      <w:r>
        <w:rPr>
          <w:i/>
          <w:color w:val="595959"/>
          <w:sz w:val="18"/>
        </w:rPr>
        <w:br/>
        <w:t>Additional site wind measurement covering at least the high-wind season; if unavailable, written IE acceptance of an alternative method.</w:t>
      </w:r>
    </w:p>
    <w:p w14:paraId="1E1747B6" w14:textId="77777777" w:rsidR="000B523B" w:rsidRDefault="00D70404">
      <w:pPr>
        <w:pStyle w:val="ListBullet"/>
        <w:spacing w:after="60" w:line="269" w:lineRule="auto"/>
      </w:pPr>
      <w:r>
        <w:rPr>
          <w:sz w:val="20"/>
        </w:rPr>
        <w:t>统一设计风速、波高、水流、</w:t>
      </w:r>
      <w:r>
        <w:rPr>
          <w:sz w:val="20"/>
        </w:rPr>
        <w:t>SLS/ULS/ALS</w:t>
      </w:r>
      <w:r>
        <w:rPr>
          <w:sz w:val="20"/>
        </w:rPr>
        <w:t>和施工临时工况。</w:t>
      </w:r>
      <w:r>
        <w:rPr>
          <w:i/>
          <w:color w:val="595959"/>
          <w:sz w:val="18"/>
        </w:rPr>
        <w:br/>
        <w:t>Unified design wind, wave, current, SLS/ULS/ALS, and temporary construction cases.</w:t>
      </w:r>
    </w:p>
    <w:p w14:paraId="7E26D8AC" w14:textId="77777777" w:rsidR="000B523B" w:rsidRDefault="00D70404">
      <w:pPr>
        <w:pStyle w:val="ListBullet"/>
        <w:spacing w:after="60" w:line="269" w:lineRule="auto"/>
      </w:pPr>
      <w:r>
        <w:rPr>
          <w:sz w:val="20"/>
        </w:rPr>
        <w:t>锚泊、锚固地勘、疲劳、动态电缆、浮体连接专项设计。</w:t>
      </w:r>
      <w:r>
        <w:rPr>
          <w:i/>
          <w:color w:val="595959"/>
          <w:sz w:val="18"/>
        </w:rPr>
        <w:br/>
        <w:t>Dedicated mooring, anchor geotechnical, fatigue, dynamic cable, and float connection design.</w:t>
      </w:r>
    </w:p>
    <w:p w14:paraId="33532A3B" w14:textId="77777777" w:rsidR="000B523B" w:rsidRDefault="00D70404">
      <w:pPr>
        <w:pStyle w:val="ListBullet"/>
        <w:spacing w:after="60" w:line="269" w:lineRule="auto"/>
      </w:pPr>
      <w:r>
        <w:rPr>
          <w:sz w:val="20"/>
        </w:rPr>
        <w:t>ESIA</w:t>
      </w:r>
      <w:r>
        <w:rPr>
          <w:sz w:val="20"/>
        </w:rPr>
        <w:t>、许可清单、并网研究、</w:t>
      </w:r>
      <w:r>
        <w:rPr>
          <w:sz w:val="20"/>
        </w:rPr>
        <w:t>Energy Yield</w:t>
      </w:r>
      <w:r>
        <w:rPr>
          <w:sz w:val="20"/>
        </w:rPr>
        <w:t>、</w:t>
      </w:r>
      <w:r>
        <w:rPr>
          <w:sz w:val="20"/>
        </w:rPr>
        <w:t>O&amp;M</w:t>
      </w:r>
      <w:r>
        <w:rPr>
          <w:sz w:val="20"/>
        </w:rPr>
        <w:t>和设备</w:t>
      </w:r>
      <w:r>
        <w:rPr>
          <w:sz w:val="20"/>
        </w:rPr>
        <w:t>bankability</w:t>
      </w:r>
      <w:r>
        <w:rPr>
          <w:sz w:val="20"/>
        </w:rPr>
        <w:t>资料。</w:t>
      </w:r>
      <w:r>
        <w:rPr>
          <w:i/>
          <w:color w:val="595959"/>
          <w:sz w:val="18"/>
        </w:rPr>
        <w:br/>
        <w:t>ESIA, permit register, grid study, energy yield, O&amp;M, and equipment bankability documents.</w:t>
      </w:r>
    </w:p>
    <w:p w14:paraId="1887FB11" w14:textId="77777777" w:rsidR="000B523B" w:rsidRDefault="00D70404">
      <w:pPr>
        <w:pStyle w:val="ListBullet"/>
        <w:spacing w:after="60" w:line="269" w:lineRule="auto"/>
      </w:pPr>
      <w:r>
        <w:rPr>
          <w:sz w:val="20"/>
        </w:rPr>
        <w:t>合同中写明业主资料依赖、设计基准变化、超基准环境条件和</w:t>
      </w:r>
      <w:r>
        <w:rPr>
          <w:sz w:val="20"/>
        </w:rPr>
        <w:t>EPC</w:t>
      </w:r>
      <w:r>
        <w:rPr>
          <w:sz w:val="20"/>
        </w:rPr>
        <w:t>索赔权。</w:t>
      </w:r>
      <w:r>
        <w:rPr>
          <w:i/>
          <w:color w:val="595959"/>
          <w:sz w:val="18"/>
        </w:rPr>
        <w:br/>
        <w:t>Contract clauses for reliance on owner-provided information, design-basis changes, exceedance of environmental conditions, and EPC claim rights.</w:t>
      </w:r>
    </w:p>
    <w:p w14:paraId="33B788A7" w14:textId="77777777" w:rsidR="000B523B" w:rsidRDefault="00D70404">
      <w:pPr>
        <w:pStyle w:val="Heading1"/>
      </w:pPr>
      <w:r>
        <w:rPr>
          <w:rFonts w:ascii="Arial" w:eastAsia="Microsoft YaHei" w:hAnsi="Arial"/>
        </w:rPr>
        <w:t>六、结论</w:t>
      </w:r>
      <w:r>
        <w:rPr>
          <w:rFonts w:ascii="Arial" w:hAnsi="Arial"/>
          <w:i/>
          <w:color w:val="595959"/>
          <w:sz w:val="20"/>
        </w:rPr>
        <w:br/>
        <w:t>6. Conclusion</w:t>
      </w:r>
    </w:p>
    <w:p w14:paraId="23024177" w14:textId="77777777" w:rsidR="000B523B" w:rsidRDefault="00D70404">
      <w:pPr>
        <w:spacing w:after="120"/>
      </w:pPr>
      <w:r>
        <w:t>结论：报告方向是正面的，但融资和</w:t>
      </w:r>
      <w:r>
        <w:t>EPC</w:t>
      </w:r>
      <w:r>
        <w:t>技术体系仍不健全。</w:t>
      </w:r>
      <w:r>
        <w:t>EPC</w:t>
      </w:r>
      <w:r>
        <w:t>应将其作为支持性专题报告，而非完整可依赖设计依据。下一步重点不是否定报告，而是把缺失资料、设计包络和责任边界补齐并写进合同。</w:t>
      </w:r>
      <w:r>
        <w:rPr>
          <w:i/>
          <w:color w:val="595959"/>
          <w:sz w:val="19"/>
        </w:rPr>
        <w:br/>
        <w:t>Conclusion: The report is positive in direction, but the financing and EPC technical framework is still incomplete. EPC should treat it as a supporting specialist report, not a complete reliance-grade design basis. The next step is not to reject the report, but to close the data gaps, define the design envelope, and capture the risk allocation in the contract.</w:t>
      </w:r>
    </w:p>
    <w:sectPr w:rsidR="000B523B" w:rsidSect="00034616">
      <w:footerReference w:type="default" r:id="rId11"/>
      <w:pgSz w:w="11906" w:h="16838"/>
      <w:pgMar w:top="1020" w:right="1077" w:bottom="1020"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Frank Major (Pretoria)" w:date="2026-05-04T08:27:00Z" w:initials="FM">
    <w:p w14:paraId="023F26EB" w14:textId="77777777" w:rsidR="00114A59" w:rsidRDefault="00114A59" w:rsidP="00114A59">
      <w:pPr>
        <w:pStyle w:val="CommentText"/>
      </w:pPr>
      <w:r>
        <w:rPr>
          <w:rStyle w:val="CommentReference"/>
        </w:rPr>
        <w:annotationRef/>
      </w:r>
      <w:r>
        <w:t xml:space="preserve">This is just a wind/wave study report. Input to the design and will be an annexure to the full Bankable Feasibility Study (BFS) Report </w:t>
      </w:r>
    </w:p>
  </w:comment>
  <w:comment w:id="2" w:author="Frank Major (Pretoria)" w:date="2026-05-04T08:25:00Z" w:initials="FM">
    <w:p w14:paraId="5FC0BED9" w14:textId="77777777" w:rsidR="00114A59" w:rsidRDefault="00114A59" w:rsidP="00114A59">
      <w:pPr>
        <w:pStyle w:val="CommentText"/>
      </w:pPr>
      <w:r>
        <w:rPr>
          <w:rStyle w:val="CommentReference"/>
        </w:rPr>
        <w:annotationRef/>
      </w:r>
      <w:r>
        <w:t>Will revise (Phase 1: 500MW, Total [Phase 1+2]: 1GW</w:t>
      </w:r>
    </w:p>
  </w:comment>
  <w:comment w:id="3" w:author="Frank Major (Pretoria)" w:date="2026-05-04T08:30:00Z" w:initials="FM">
    <w:p w14:paraId="2233E4A4" w14:textId="77777777" w:rsidR="00114A59" w:rsidRDefault="00114A59" w:rsidP="00114A59">
      <w:pPr>
        <w:pStyle w:val="CommentText"/>
      </w:pPr>
      <w:r>
        <w:rPr>
          <w:rStyle w:val="CommentReference"/>
        </w:rPr>
        <w:annotationRef/>
      </w:r>
      <w:r>
        <w:t>Design for BFS, provide further measurements for Detailed Design for construction at the time of EPC engagement (then ~6-12months data  of on-site measurement should be available)</w:t>
      </w:r>
    </w:p>
  </w:comment>
  <w:comment w:id="4" w:author="Frank Major (Pretoria)" w:date="2026-05-04T08:28:00Z" w:initials="FM">
    <w:p w14:paraId="5A4970EC" w14:textId="77777777" w:rsidR="00114A59" w:rsidRDefault="00114A59" w:rsidP="00114A59">
      <w:pPr>
        <w:pStyle w:val="CommentText"/>
      </w:pPr>
      <w:r>
        <w:rPr>
          <w:rStyle w:val="CommentReference"/>
        </w:rPr>
        <w:annotationRef/>
      </w:r>
      <w:r>
        <w:t>Structural Design by FPV supplier</w:t>
      </w:r>
    </w:p>
  </w:comment>
  <w:comment w:id="5" w:author="Frank Major (Pretoria)" w:date="2026-05-04T08:28:00Z" w:initials="FM">
    <w:p w14:paraId="4D061862" w14:textId="77777777" w:rsidR="00114A59" w:rsidRDefault="00114A59" w:rsidP="00114A59">
      <w:pPr>
        <w:pStyle w:val="CommentText"/>
      </w:pPr>
      <w:r>
        <w:rPr>
          <w:rStyle w:val="CommentReference"/>
        </w:rPr>
        <w:annotationRef/>
      </w:r>
      <w:r>
        <w:t>This is just a wind/wave study report. Input to the design and will be an annexure to the full Bankable Feasibility Study (BFS) Report</w:t>
      </w:r>
    </w:p>
  </w:comment>
  <w:comment w:id="6" w:author="Frank Major (Pretoria)" w:date="2026-05-04T08:32:00Z" w:initials="FM">
    <w:p w14:paraId="7D3E5F97" w14:textId="77777777" w:rsidR="00114A59" w:rsidRDefault="00114A59" w:rsidP="00114A59">
      <w:pPr>
        <w:pStyle w:val="CommentText"/>
      </w:pPr>
      <w:r>
        <w:rPr>
          <w:rStyle w:val="CommentReference"/>
        </w:rPr>
        <w:annotationRef/>
      </w:r>
      <w:r>
        <w:t>Can we send this to the FPV supplier?</w:t>
      </w:r>
    </w:p>
  </w:comment>
  <w:comment w:id="7" w:author="Frank Major (Pretoria)" w:date="2026-05-04T08:34:00Z" w:initials="FM">
    <w:p w14:paraId="4A670DE7" w14:textId="77777777" w:rsidR="00114A59" w:rsidRDefault="00114A59" w:rsidP="00114A59">
      <w:pPr>
        <w:pStyle w:val="CommentText"/>
      </w:pPr>
      <w:r>
        <w:rPr>
          <w:rStyle w:val="CommentReference"/>
        </w:rPr>
        <w:annotationRef/>
      </w:r>
      <w:r>
        <w:t>Can we send this to the FPV supplier?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3F26EB" w15:done="0"/>
  <w15:commentEx w15:paraId="5FC0BED9" w15:done="0"/>
  <w15:commentEx w15:paraId="2233E4A4" w15:done="0"/>
  <w15:commentEx w15:paraId="5A4970EC" w15:done="0"/>
  <w15:commentEx w15:paraId="4D061862" w15:done="0"/>
  <w15:commentEx w15:paraId="7D3E5F97" w15:done="0"/>
  <w15:commentEx w15:paraId="4A670D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D3F773" w16cex:dateUtc="2026-05-04T06:27:00Z"/>
  <w16cex:commentExtensible w16cex:durableId="755D900E" w16cex:dateUtc="2026-05-04T06:25:00Z"/>
  <w16cex:commentExtensible w16cex:durableId="40A90206" w16cex:dateUtc="2026-05-04T06:30:00Z"/>
  <w16cex:commentExtensible w16cex:durableId="15778631" w16cex:dateUtc="2026-05-04T06:28:00Z"/>
  <w16cex:commentExtensible w16cex:durableId="6B1C4445" w16cex:dateUtc="2026-05-04T06:28:00Z"/>
  <w16cex:commentExtensible w16cex:durableId="2A2986E4" w16cex:dateUtc="2026-05-04T06:32:00Z"/>
  <w16cex:commentExtensible w16cex:durableId="67ACFEB0" w16cex:dateUtc="2026-05-04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3F26EB" w16cid:durableId="20D3F773"/>
  <w16cid:commentId w16cid:paraId="5FC0BED9" w16cid:durableId="755D900E"/>
  <w16cid:commentId w16cid:paraId="2233E4A4" w16cid:durableId="40A90206"/>
  <w16cid:commentId w16cid:paraId="5A4970EC" w16cid:durableId="15778631"/>
  <w16cid:commentId w16cid:paraId="4D061862" w16cid:durableId="6B1C4445"/>
  <w16cid:commentId w16cid:paraId="7D3E5F97" w16cid:durableId="2A2986E4"/>
  <w16cid:commentId w16cid:paraId="4A670DE7" w16cid:durableId="67ACF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14108B" w14:textId="77777777" w:rsidR="001969F4" w:rsidRDefault="001969F4">
      <w:pPr>
        <w:spacing w:after="0" w:line="240" w:lineRule="auto"/>
      </w:pPr>
      <w:r>
        <w:separator/>
      </w:r>
    </w:p>
  </w:endnote>
  <w:endnote w:type="continuationSeparator" w:id="0">
    <w:p w14:paraId="41873FC6" w14:textId="77777777" w:rsidR="001969F4" w:rsidRDefault="0019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2027C" w14:textId="77777777" w:rsidR="000B523B" w:rsidRDefault="00D70404">
    <w:pPr>
      <w:pStyle w:val="Footer"/>
      <w:jc w:val="center"/>
    </w:pPr>
    <w:r>
      <w:rPr>
        <w:color w:val="7F7F7F"/>
        <w:sz w:val="16"/>
      </w:rPr>
      <w:t>EPC Technical Due Diligence Review | Internal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5ECC7D" w14:textId="77777777" w:rsidR="001969F4" w:rsidRDefault="001969F4">
      <w:pPr>
        <w:spacing w:after="0" w:line="240" w:lineRule="auto"/>
      </w:pPr>
      <w:r>
        <w:separator/>
      </w:r>
    </w:p>
  </w:footnote>
  <w:footnote w:type="continuationSeparator" w:id="0">
    <w:p w14:paraId="3E3709C8" w14:textId="77777777" w:rsidR="001969F4" w:rsidRDefault="0019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rank Major (Pretoria)">
    <w15:presenceInfo w15:providerId="AD" w15:userId="S::frank.m@ixengineers.co.za::0cb4ab00-c1e4-41d5-bbe9-b510456895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23B"/>
    <w:rsid w:val="00114A59"/>
    <w:rsid w:val="0015074B"/>
    <w:rsid w:val="001969F4"/>
    <w:rsid w:val="0029639D"/>
    <w:rsid w:val="00326F90"/>
    <w:rsid w:val="00A52B21"/>
    <w:rsid w:val="00AA1D8D"/>
    <w:rsid w:val="00B47730"/>
    <w:rsid w:val="00CB0664"/>
    <w:rsid w:val="00CD7C04"/>
    <w:rsid w:val="00D70404"/>
    <w:rsid w:val="00DB66CF"/>
    <w:rsid w:val="00E43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78A36"/>
  <w14:defaultImageDpi w14:val="300"/>
  <w15:docId w15:val="{B019C5AF-F5DC-496A-A0E3-8295C8BD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Microsoft YaHei"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14A59"/>
    <w:rPr>
      <w:sz w:val="16"/>
      <w:szCs w:val="16"/>
    </w:rPr>
  </w:style>
  <w:style w:type="paragraph" w:styleId="CommentText">
    <w:name w:val="annotation text"/>
    <w:basedOn w:val="Normal"/>
    <w:link w:val="CommentTextChar"/>
    <w:uiPriority w:val="99"/>
    <w:unhideWhenUsed/>
    <w:rsid w:val="00114A59"/>
    <w:pPr>
      <w:spacing w:line="240" w:lineRule="auto"/>
    </w:pPr>
    <w:rPr>
      <w:sz w:val="20"/>
      <w:szCs w:val="20"/>
    </w:rPr>
  </w:style>
  <w:style w:type="character" w:customStyle="1" w:styleId="CommentTextChar">
    <w:name w:val="Comment Text Char"/>
    <w:basedOn w:val="DefaultParagraphFont"/>
    <w:link w:val="CommentText"/>
    <w:uiPriority w:val="99"/>
    <w:rsid w:val="00114A59"/>
    <w:rPr>
      <w:rFonts w:ascii="Arial" w:eastAsia="Microsoft YaHei" w:hAnsi="Arial"/>
      <w:sz w:val="20"/>
      <w:szCs w:val="20"/>
    </w:rPr>
  </w:style>
  <w:style w:type="paragraph" w:styleId="CommentSubject">
    <w:name w:val="annotation subject"/>
    <w:basedOn w:val="CommentText"/>
    <w:next w:val="CommentText"/>
    <w:link w:val="CommentSubjectChar"/>
    <w:uiPriority w:val="99"/>
    <w:semiHidden/>
    <w:unhideWhenUsed/>
    <w:rsid w:val="00114A59"/>
    <w:rPr>
      <w:b/>
      <w:bCs/>
    </w:rPr>
  </w:style>
  <w:style w:type="character" w:customStyle="1" w:styleId="CommentSubjectChar">
    <w:name w:val="Comment Subject Char"/>
    <w:basedOn w:val="CommentTextChar"/>
    <w:link w:val="CommentSubject"/>
    <w:uiPriority w:val="99"/>
    <w:semiHidden/>
    <w:rsid w:val="00114A59"/>
    <w:rPr>
      <w:rFonts w:ascii="Arial" w:eastAsia="Microsoft YaHei" w:hAnsi="Arial"/>
      <w:b/>
      <w:bCs/>
      <w:sz w:val="20"/>
      <w:szCs w:val="20"/>
    </w:rPr>
  </w:style>
  <w:style w:type="paragraph" w:styleId="BalloonText">
    <w:name w:val="Balloon Text"/>
    <w:basedOn w:val="Normal"/>
    <w:link w:val="BalloonTextChar"/>
    <w:uiPriority w:val="99"/>
    <w:semiHidden/>
    <w:unhideWhenUsed/>
    <w:rsid w:val="00A52B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B21"/>
    <w:rPr>
      <w:rFonts w:ascii="Segoe UI" w:eastAsia="Microsoft YaHe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08807-8C97-47E3-AF44-09E29A063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Marsden Sibanda</cp:lastModifiedBy>
  <cp:revision>2</cp:revision>
  <dcterms:created xsi:type="dcterms:W3CDTF">2026-05-04T06:54:00Z</dcterms:created>
  <dcterms:modified xsi:type="dcterms:W3CDTF">2026-05-04T06:54:00Z</dcterms:modified>
  <cp:category/>
</cp:coreProperties>
</file>