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rPr>
        <w:t>INDIAKART E-COMMERCE ANALYTICS PROJECT</w:t>
      </w:r>
    </w:p>
    <w:p>
      <w:pPr>
        <w:jc w:val="center"/>
      </w:pPr>
      <w:r>
        <w:rPr>
          <w:b/>
          <w:sz w:val="44"/>
        </w:rPr>
        <w:t>Phase 1: Data Cleaning and Quality Report</w:t>
      </w:r>
    </w:p>
    <w:p>
      <w:pPr>
        <w:jc w:val="center"/>
      </w:pPr>
      <w:r>
        <w:t>Dataset profiling • Validation • Data-quality observations</w:t>
      </w:r>
    </w:p>
    <w:p>
      <w:pPr>
        <w:pStyle w:val="Heading1"/>
      </w:pPr>
      <w:r>
        <w:t>1. Project Overview</w:t>
      </w:r>
    </w:p>
    <w:p>
      <w:r>
        <w:t>This phase involved profiling and validating the eight supplied IndiaKart datasets, checking relationships between tables, documenting data-quality observations, and saving cleaned datasets for subsequent analysis.</w:t>
      </w:r>
    </w:p>
    <w:p>
      <w:pPr>
        <w:pStyle w:val="Heading1"/>
      </w:pPr>
      <w:r>
        <w:t>2. Dataset Summary</w:t>
      </w:r>
    </w:p>
    <w:tbl>
      <w:tblPr>
        <w:tblStyle w:val="LightShading-Accent1"/>
        <w:tblW w:type="auto" w:w="0"/>
        <w:tblLook w:firstColumn="1" w:firstRow="1" w:lastColumn="0" w:lastRow="0" w:noHBand="0" w:noVBand="1" w:val="04A0"/>
      </w:tblPr>
      <w:tblGrid>
        <w:gridCol w:w="4968"/>
        <w:gridCol w:w="4968"/>
      </w:tblGrid>
      <w:tr>
        <w:tc>
          <w:tcPr>
            <w:tcW w:type="dxa" w:w="4968"/>
          </w:tcPr>
          <w:p>
            <w:r>
              <w:t>Dataset</w:t>
            </w:r>
          </w:p>
        </w:tc>
        <w:tc>
          <w:tcPr>
            <w:tcW w:type="dxa" w:w="4968"/>
          </w:tcPr>
          <w:p>
            <w:r>
              <w:t>Records</w:t>
            </w:r>
          </w:p>
        </w:tc>
      </w:tr>
      <w:tr>
        <w:tc>
          <w:tcPr>
            <w:tcW w:type="dxa" w:w="4968"/>
          </w:tcPr>
          <w:p>
            <w:r>
              <w:t>Customers</w:t>
            </w:r>
          </w:p>
        </w:tc>
        <w:tc>
          <w:tcPr>
            <w:tcW w:type="dxa" w:w="4968"/>
          </w:tcPr>
          <w:p>
            <w:r>
              <w:t>10,000</w:t>
            </w:r>
          </w:p>
        </w:tc>
      </w:tr>
      <w:tr>
        <w:tc>
          <w:tcPr>
            <w:tcW w:type="dxa" w:w="4968"/>
          </w:tcPr>
          <w:p>
            <w:r>
              <w:t>Inventory</w:t>
            </w:r>
          </w:p>
        </w:tc>
        <w:tc>
          <w:tcPr>
            <w:tcW w:type="dxa" w:w="4968"/>
          </w:tcPr>
          <w:p>
            <w:r>
              <w:t>1,000</w:t>
            </w:r>
          </w:p>
        </w:tc>
      </w:tr>
      <w:tr>
        <w:tc>
          <w:tcPr>
            <w:tcW w:type="dxa" w:w="4968"/>
          </w:tcPr>
          <w:p>
            <w:r>
              <w:t>Order Items</w:t>
            </w:r>
          </w:p>
        </w:tc>
        <w:tc>
          <w:tcPr>
            <w:tcW w:type="dxa" w:w="4968"/>
          </w:tcPr>
          <w:p>
            <w:r>
              <w:t>100,000</w:t>
            </w:r>
          </w:p>
        </w:tc>
      </w:tr>
      <w:tr>
        <w:tc>
          <w:tcPr>
            <w:tcW w:type="dxa" w:w="4968"/>
          </w:tcPr>
          <w:p>
            <w:r>
              <w:t>Orders</w:t>
            </w:r>
          </w:p>
        </w:tc>
        <w:tc>
          <w:tcPr>
            <w:tcW w:type="dxa" w:w="4968"/>
          </w:tcPr>
          <w:p>
            <w:r>
              <w:t>50,000</w:t>
            </w:r>
          </w:p>
        </w:tc>
      </w:tr>
      <w:tr>
        <w:tc>
          <w:tcPr>
            <w:tcW w:type="dxa" w:w="4968"/>
          </w:tcPr>
          <w:p>
            <w:r>
              <w:t>Payments</w:t>
            </w:r>
          </w:p>
        </w:tc>
        <w:tc>
          <w:tcPr>
            <w:tcW w:type="dxa" w:w="4968"/>
          </w:tcPr>
          <w:p>
            <w:r>
              <w:t>50,000</w:t>
            </w:r>
          </w:p>
        </w:tc>
      </w:tr>
      <w:tr>
        <w:tc>
          <w:tcPr>
            <w:tcW w:type="dxa" w:w="4968"/>
          </w:tcPr>
          <w:p>
            <w:r>
              <w:t>Products</w:t>
            </w:r>
          </w:p>
        </w:tc>
        <w:tc>
          <w:tcPr>
            <w:tcW w:type="dxa" w:w="4968"/>
          </w:tcPr>
          <w:p>
            <w:r>
              <w:t>1,000</w:t>
            </w:r>
          </w:p>
        </w:tc>
      </w:tr>
      <w:tr>
        <w:tc>
          <w:tcPr>
            <w:tcW w:type="dxa" w:w="4968"/>
          </w:tcPr>
          <w:p>
            <w:r>
              <w:t>Returns</w:t>
            </w:r>
          </w:p>
        </w:tc>
        <w:tc>
          <w:tcPr>
            <w:tcW w:type="dxa" w:w="4968"/>
          </w:tcPr>
          <w:p>
            <w:r>
              <w:t>10,000</w:t>
            </w:r>
          </w:p>
        </w:tc>
      </w:tr>
      <w:tr>
        <w:tc>
          <w:tcPr>
            <w:tcW w:type="dxa" w:w="4968"/>
          </w:tcPr>
          <w:p>
            <w:r>
              <w:t>Suppliers</w:t>
            </w:r>
          </w:p>
        </w:tc>
        <w:tc>
          <w:tcPr>
            <w:tcW w:type="dxa" w:w="4968"/>
          </w:tcPr>
          <w:p>
            <w:r>
              <w:t>200</w:t>
            </w:r>
          </w:p>
        </w:tc>
      </w:tr>
      <w:tr>
        <w:tc>
          <w:tcPr>
            <w:tcW w:type="dxa" w:w="4968"/>
          </w:tcPr>
          <w:p>
            <w:r>
              <w:rPr>
                <w:b/>
              </w:rPr>
              <w:t>TOTAL</w:t>
            </w:r>
          </w:p>
        </w:tc>
        <w:tc>
          <w:tcPr>
            <w:tcW w:type="dxa" w:w="4968"/>
          </w:tcPr>
          <w:p>
            <w:r>
              <w:rPr>
                <w:b/>
              </w:rPr>
              <w:t>212,200</w:t>
            </w:r>
          </w:p>
        </w:tc>
      </w:tr>
    </w:tbl>
    <w:p>
      <w:r>
        <w:t>The PRD states approximately 216,200 records, while the eight supplied datasets contain 212,200 records—a difference of 4,000 records. This discrepancy should be clarified.</w:t>
      </w:r>
    </w:p>
    <w:p>
      <w:pPr>
        <w:pStyle w:val="Heading1"/>
      </w:pPr>
      <w:r>
        <w:t>3. Data-Quality Checks Performed</w:t>
      </w:r>
    </w:p>
    <w:p>
      <w:pPr>
        <w:pStyle w:val="ListBullet"/>
      </w:pPr>
      <w:r>
        <w:t>No exact duplicate rows were found in the eight datasets.</w:t>
      </w:r>
    </w:p>
    <w:p>
      <w:pPr>
        <w:pStyle w:val="ListBullet"/>
      </w:pPr>
      <w:r>
        <w:t>Primary ID uniqueness checks passed for all eight datasets.</w:t>
      </w:r>
    </w:p>
    <w:p>
      <w:pPr>
        <w:pStyle w:val="ListBullet"/>
      </w:pPr>
      <w:r>
        <w:t>All orders matched existing customers; all order items matched existing products.</w:t>
      </w:r>
    </w:p>
    <w:p>
      <w:pPr>
        <w:pStyle w:val="ListBullet"/>
      </w:pPr>
      <w:r>
        <w:t>All products matched existing suppliers, and all inventory records matched existing products.</w:t>
      </w:r>
    </w:p>
    <w:p>
      <w:pPr>
        <w:pStyle w:val="ListBullet"/>
      </w:pPr>
      <w:r>
        <w:t>All return and payment records matched existing orders.</w:t>
      </w:r>
    </w:p>
    <w:p>
      <w:pPr>
        <w:pStyle w:val="ListBullet"/>
      </w:pPr>
      <w:r>
        <w:t>No negative values were found in the selected numeric columns checked.</w:t>
      </w:r>
    </w:p>
    <w:p>
      <w:pPr>
        <w:pStyle w:val="ListBullet"/>
      </w:pPr>
      <w:r>
        <w:t>No zero values were found in the selected key price and amount columns checked.</w:t>
      </w:r>
    </w:p>
    <w:p>
      <w:pPr>
        <w:pStyle w:val="ListBullet"/>
      </w:pPr>
      <w:r>
        <w:t>No delivered date occurred before its order date.</w:t>
      </w:r>
    </w:p>
    <w:p>
      <w:pPr>
        <w:pStyle w:val="ListBullet"/>
      </w:pPr>
      <w:r>
        <w:t>Customer total_orders and total_spent reconciled with the orders dataset in the checks performed.</w:t>
      </w:r>
    </w:p>
    <w:p>
      <w:pPr>
        <w:pStyle w:val="ListBullet"/>
      </w:pPr>
      <w:r>
        <w:t>All order-item totals matched quantity × unit price + GST − discount within ₹0.01.</w:t>
      </w:r>
    </w:p>
    <w:p>
      <w:pPr>
        <w:pStyle w:val="ListBullet"/>
      </w:pPr>
      <w:r>
        <w:t>Summed order-item totals matched order total_amount within ₹0.01.</w:t>
      </w:r>
    </w:p>
    <w:p>
      <w:pPr>
        <w:pStyle w:val="Heading1"/>
      </w:pPr>
      <w:r>
        <w:t>4. Findings Requiring Attention</w:t>
      </w:r>
    </w:p>
    <w:p>
      <w:pPr>
        <w:pStyle w:val="Heading2"/>
      </w:pPr>
      <w:r>
        <w:t>4.1 Missing Dates and Refund Fields</w:t>
      </w:r>
    </w:p>
    <w:p>
      <w:pPr>
        <w:pStyle w:val="ListBullet"/>
      </w:pPr>
      <w:r>
        <w:t>orders.delivered_date: 17,501 missing values.</w:t>
      </w:r>
    </w:p>
    <w:p>
      <w:pPr>
        <w:pStyle w:val="ListBullet"/>
      </w:pPr>
      <w:r>
        <w:t>payments.refund_date: 50,000 missing values.</w:t>
      </w:r>
    </w:p>
    <w:p>
      <w:pPr>
        <w:pStyle w:val="ListBullet"/>
      </w:pPr>
      <w:r>
        <w:t>payments.refund_amount: 50,000 zero values.</w:t>
      </w:r>
    </w:p>
    <w:p>
      <w:r>
        <w:t>Missing delivery dates corresponded to orders with these statuses: Cancelled (5,996), Processing (2,501), Returned (3,933), and Shipped (5,071). Delivered orders had delivery dates. All refund dates were missing and all refund amounts were zero; these values were not filled without supporting evidence.</w:t>
      </w:r>
    </w:p>
    <w:p>
      <w:pPr>
        <w:pStyle w:val="Heading2"/>
      </w:pPr>
      <w:r>
        <w:t>4.2 Payment Status</w:t>
      </w:r>
    </w:p>
    <w:p>
      <w:r>
        <w:t>There were 48,252 successful payments and 1,748 failed payments, giving a payment failure rate of 3.50%. All failed payment records were associated with cancelled orders. This relationship should be confirmed against the intended business rules.</w:t>
      </w:r>
    </w:p>
    <w:p>
      <w:pPr>
        <w:pStyle w:val="Heading2"/>
      </w:pPr>
      <w:r>
        <w:t>4.3 Return-Date Validation</w:t>
      </w:r>
    </w:p>
    <w:p>
      <w:r>
        <w:t>A total of 1,006 return records had return dates earlier than the associated delivery dates. These records should be investigated. No dates were changed during this check.</w:t>
      </w:r>
    </w:p>
    <w:p>
      <w:pPr>
        <w:pStyle w:val="Heading2"/>
      </w:pPr>
      <w:r>
        <w:t>4.4 High-Value Orders</w:t>
      </w:r>
    </w:p>
    <w:p>
      <w:r>
        <w:t>A total of 312 orders had final_amount greater than ₹5,00,000. They were flagged for review; their amounts were not modified.</w:t>
      </w:r>
    </w:p>
    <w:p>
      <w:pPr>
        <w:pStyle w:val="Heading2"/>
      </w:pPr>
      <w:r>
        <w:t>4.5 final_amount Formula Discrepancy</w:t>
      </w:r>
    </w:p>
    <w:p>
      <w:r>
        <w:t>The data dictionary describes final_amount as the amount charged and suggests a calculation involving total_amount, GST, shipping charges, and discounts. However, the supplied dataset matches final_amount = total_amount + shipping_charge for all 50,000 orders.</w:t>
      </w:r>
    </w:p>
    <w:p>
      <w:r>
        <w:t>Applying the formula suggested by the data dictionary produced 2,052 negative amounts. Because the source data and documentation disagree, the original final_amount values were retained. This discrepancy remains unresolved and should be clarified with the project owner.</w:t>
      </w:r>
    </w:p>
    <w:p>
      <w:pPr>
        <w:pStyle w:val="Heading2"/>
      </w:pPr>
      <w:r>
        <w:t>4.6 Customers With No Orders</w:t>
      </w:r>
    </w:p>
    <w:p>
      <w:r>
        <w:t>A total of 457 customers had total_orders equal to zero. Their total_spent values were zero in the checks performed. These records were retained.</w:t>
      </w:r>
    </w:p>
    <w:p>
      <w:pPr>
        <w:pStyle w:val="Heading1"/>
      </w:pPr>
      <w:r>
        <w:t>5. Inventory, Product, and Supplier Checks</w:t>
      </w:r>
    </w:p>
    <w:p>
      <w:r>
        <w:t>Inventory status counts:</w:t>
      </w:r>
    </w:p>
    <w:p>
      <w:pPr>
        <w:pStyle w:val="ListBullet"/>
      </w:pPr>
      <w:r>
        <w:t>In Stock: 922</w:t>
      </w:r>
    </w:p>
    <w:p>
      <w:pPr>
        <w:pStyle w:val="ListBullet"/>
      </w:pPr>
      <w:r>
        <w:t>Low Stock: 76</w:t>
      </w:r>
    </w:p>
    <w:p>
      <w:pPr>
        <w:pStyle w:val="ListBullet"/>
      </w:pPr>
      <w:r>
        <w:t>Out of Stock: 2</w:t>
      </w:r>
    </w:p>
    <w:p>
      <w:r>
        <w:t>Inventory quantities were consistent with the recorded stock statuses, and no reserved quantity exceeded available quantity.</w:t>
      </w:r>
    </w:p>
    <w:p>
      <w:pPr>
        <w:pStyle w:val="ListBullet"/>
      </w:pPr>
      <w:r>
        <w:t>No product selling price exceeded its MRP.</w:t>
      </w:r>
    </w:p>
    <w:p>
      <w:pPr>
        <w:pStyle w:val="ListBullet"/>
      </w:pPr>
      <w:r>
        <w:t>No product selling price was below its cost price.</w:t>
      </w:r>
    </w:p>
    <w:p>
      <w:pPr>
        <w:pStyle w:val="ListBullet"/>
      </w:pPr>
      <w:r>
        <w:t>No non-positive product weights were found.</w:t>
      </w:r>
    </w:p>
    <w:p>
      <w:pPr>
        <w:pStyle w:val="ListBullet"/>
      </w:pPr>
      <w:r>
        <w:t>Supplier ratings were within the 1–5 range.</w:t>
      </w:r>
    </w:p>
    <w:p>
      <w:pPr>
        <w:pStyle w:val="ListBullet"/>
      </w:pPr>
      <w:r>
        <w:t>No supplier payment terms exceeded 120 days.</w:t>
      </w:r>
    </w:p>
    <w:p>
      <w:pPr>
        <w:pStyle w:val="ListBullet"/>
      </w:pPr>
      <w:r>
        <w:t>Supplier email and phone fields were populated.</w:t>
      </w:r>
    </w:p>
    <w:p>
      <w:pPr>
        <w:pStyle w:val="Heading1"/>
      </w:pPr>
      <w:r>
        <w:t>6. Cleaning and Preservation Decisions</w:t>
      </w:r>
    </w:p>
    <w:p>
      <w:pPr>
        <w:pStyle w:val="ListBullet"/>
      </w:pPr>
      <w:r>
        <w:t>Date columns were converted to datetime using the documented day-month-year format.</w:t>
      </w:r>
    </w:p>
    <w:p>
      <w:pPr>
        <w:pStyle w:val="ListBullet"/>
      </w:pPr>
      <w:r>
        <w:t>Original final_amount values were restored and retained.</w:t>
      </w:r>
    </w:p>
    <w:p>
      <w:pPr>
        <w:pStyle w:val="ListBullet"/>
      </w:pPr>
      <w:r>
        <w:t>Temporary validation columns were removed before saving.</w:t>
      </w:r>
    </w:p>
    <w:p>
      <w:pPr>
        <w:pStyle w:val="ListBullet"/>
      </w:pPr>
      <w:r>
        <w:t>Missing values and suspicious records were not automatically filled or altered when the correct replacement was uncertain.</w:t>
      </w:r>
    </w:p>
    <w:p>
      <w:pPr>
        <w:pStyle w:val="ListBullet"/>
      </w:pPr>
      <w:r>
        <w:t>The checks performed were targeted validations; they do not prove that every field is free of errors.</w:t>
      </w:r>
    </w:p>
    <w:p>
      <w:pPr>
        <w:pStyle w:val="Heading1"/>
      </w:pPr>
      <w:r>
        <w:t>7. Output and Verification</w:t>
      </w:r>
    </w:p>
    <w:p>
      <w:r>
        <w:t>Eight cleaned CSV files were saved to data/cleaned: customers.csv, inventory.csv, order_items.csv, orders.csv, payments.csv, products.csv, returns.csv, and suppliers.csv.</w:t>
      </w:r>
    </w:p>
    <w:p>
      <w:r>
        <w:t>The saved row counts were compared with the in-memory DataFrames. All eight datasets matched, for a total of 212,200 records.</w:t>
      </w:r>
    </w:p>
    <w:p>
      <w:pPr>
        <w:pStyle w:val="Heading1"/>
      </w:pPr>
      <w:r>
        <w:t>8. Recommended Follow-Up</w:t>
      </w:r>
    </w:p>
    <w:p>
      <w:pPr>
        <w:pStyle w:val="ListNumber"/>
      </w:pPr>
      <w:r>
        <w:t>Clarify the 4,000-record difference between the PRD and the supplied data.</w:t>
      </w:r>
    </w:p>
    <w:p>
      <w:pPr>
        <w:pStyle w:val="ListNumber"/>
      </w:pPr>
      <w:r>
        <w:t>Confirm the intended final_amount calculation with the project owner.</w:t>
      </w:r>
    </w:p>
    <w:p>
      <w:pPr>
        <w:pStyle w:val="ListNumber"/>
      </w:pPr>
      <w:r>
        <w:t>Investigate the 1,006 return-date inconsistencies.</w:t>
      </w:r>
    </w:p>
    <w:p>
      <w:pPr>
        <w:pStyle w:val="ListNumber"/>
      </w:pPr>
      <w:r>
        <w:t>Confirm whether missing refund dates and zero refund amounts are expected.</w:t>
      </w:r>
    </w:p>
    <w:p>
      <w:pPr>
        <w:pStyle w:val="ListNumber"/>
      </w:pPr>
      <w:r>
        <w:t>Review the 312 high-value orders and document any business-rule findings.</w:t>
      </w:r>
    </w:p>
    <w:p>
      <w:pPr>
        <w:pStyle w:val="Heading1"/>
      </w:pPr>
      <w:r>
        <w:t>Conclusion</w:t>
      </w:r>
    </w:p>
    <w:p>
      <w:r>
        <w:t>The eight datasets were profiled, subjected to targeted quality and relationship checks, and saved for further analysis. Identified inconsistencies were documented rather than silently corrected. The unresolved findings should be considered during exploratory data analysis and KPI development.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IndiaKart Analytics | Phase 1 Data Quality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