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6B2E"/>
          <w:sz w:val="56"/>
          <w:szCs w:val="56"/>
        </w:rPr>
        <w:t xml:space="preserve">India Drug Approval Gap Analysis</w:t>
      </w:r>
    </w:p>
    <w:p>
      <w:pPr>
        <w:spacing w:after="80" w:before="0"/>
      </w:pPr>
      <w:r>
        <w:rPr>
          <w:rFonts w:ascii="Arial" w:cs="Arial" w:eastAsia="Arial" w:hAnsi="Arial"/>
          <w:color w:val="2E7D32"/>
          <w:sz w:val="28"/>
          <w:szCs w:val="28"/>
        </w:rPr>
        <w:t xml:space="preserve">CDSCO Drug Approvals vs. NCD Burden  •  2015–2026</w:t>
      </w:r>
    </w:p>
    <w:p>
      <w:pPr>
        <w:pBdr>
          <w:bottom w:val="single" w:color="1F6B2E" w:sz="8" w:space="4"/>
        </w:pBdr>
        <w:spacing w:after="360" w:before="0"/>
      </w:pPr>
      <w:r>
        <w:rPr>
          <w:rFonts w:ascii="Arial" w:cs="Arial" w:eastAsia="Arial" w:hAnsi="Arial"/>
          <w:color w:val="444444"/>
          <w:sz w:val="22"/>
          <w:szCs w:val="22"/>
        </w:rPr>
        <w:t xml:space="preserve">Vatsal Chawla  •  chawlavatsal03@gmail.com  •  GitHub: vatsalchawla  •  May 2026</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 Executive Summary</w:t>
      </w:r>
    </w:p>
    <w:p>
      <w:pPr>
        <w:spacing w:after="80" w:before="80"/>
      </w:pPr>
      <w:r>
        <w:rPr>
          <w:rFonts w:ascii="Arial" w:cs="Arial" w:eastAsia="Arial" w:hAnsi="Arial"/>
          <w:sz w:val="22"/>
          <w:szCs w:val="22"/>
        </w:rPr>
        <w:t xml:space="preserve">This project analyses the alignment between CDSCO drug approvals (2025) and non-communicable disease (NCD) burden in India using WHO GBD 2019 data. Using 49 CDSCO approvals mapped across 16 therapeutic areas, a SQL-based gap methodology (burden_rank − approval_rank), Python visualisations, and a Power BI dashboard, it identifies where pharmaceutical investment is systematically misaligned with public health need.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2E" w:sz="12"/>
              <w:left w:val="single" w:color="1F6B2E" w:sz="12"/>
              <w:bottom w:val="single" w:color="1F6B2E" w:sz="12"/>
              <w:right w:val="single" w:color="1F6B2E" w:sz="12"/>
            </w:tcBorders>
            <w:shd w:fill="EEF7EE"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Core Research Question</w:t>
            </w:r>
          </w:p>
          <w:p>
            <w:pPr>
              <w:spacing w:after="40" w:before="40"/>
            </w:pPr>
            <w:r>
              <w:rPr>
                <w:rFonts w:ascii="Arial" w:cs="Arial" w:eastAsia="Arial" w:hAnsi="Arial"/>
                <w:b w:val="false"/>
                <w:bCs w:val="false"/>
                <w:i/>
                <w:iCs/>
                <w:color w:val="000000"/>
                <w:sz w:val="22"/>
                <w:szCs w:val="22"/>
              </w:rPr>
              <w:t xml:space="preserve">"Which therapeutic areas have the highest disease burden but the lowest drug approvals – and why?"</w:t>
            </w:r>
          </w:p>
        </w:tc>
      </w:tr>
    </w:tbl>
    <w:p>
      <w:pPr>
        <w:spacing w:after="80" w:before="80"/>
      </w:pPr>
      <w:r>
        <w:t xml:space="preserve"/>
      </w:r>
    </w:p>
    <w:p>
      <w:pPr>
        <w:pStyle w:val="Heading2"/>
        <w:spacing w:after="100" w:before="260"/>
      </w:pPr>
      <w:r>
        <w:rPr>
          <w:rFonts w:ascii="Arial" w:cs="Arial" w:eastAsia="Arial" w:hAnsi="Arial"/>
          <w:b/>
          <w:bCs/>
          <w:color w:val="2E7D32"/>
          <w:sz w:val="26"/>
          <w:szCs w:val="26"/>
        </w:rPr>
        <w:t xml:space="preserve">Original Hypothesis vs. Actual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Hypothesis</w:t>
            </w:r>
          </w:p>
        </w:tc>
        <w:tc>
          <w:tcPr>
            <w:tcW w:type="dxa" w:w="61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What 2025 Data Actually Shows</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 would show the largest gap (~40M chronically infected, very low approvals)</w:t>
            </w:r>
          </w:p>
        </w:tc>
        <w:tc>
          <w:tcPr>
            <w:tcW w:type="dxa" w:w="6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 had ZERO approvals in 2025 — it fell outside the ranked analysis entirely</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 areas (CVD, Diabetes) would be moderately over-served</w:t>
            </w:r>
          </w:p>
        </w:tc>
        <w:tc>
          <w:tcPr>
            <w:tcW w:type="dxa" w:w="6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 is severely over-served (gap = −8); Diabetes/Obesity at −5</w:t>
            </w:r>
          </w:p>
        </w:tc>
      </w:tr>
      <w:tr>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Inflammation/Immunology would be broadly balanced</w:t>
            </w:r>
          </w:p>
        </w:tc>
        <w:tc>
          <w:tcPr>
            <w:tcW w:type="dxa" w:w="6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 (+6) and Immunology (+6) are the most under-served areas in the dataset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2"/>
              <w:left w:val="single" w:color="F57F17" w:sz="12"/>
              <w:bottom w:val="single" w:color="F57F17" w:sz="12"/>
              <w:right w:val="single" w:color="F57F17" w:sz="12"/>
            </w:tcBorders>
            <w:shd w:fill="FFF8E1"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Why the shift from Hepatitis to Inflammation/Immunology?</w:t>
            </w:r>
          </w:p>
          <w:p>
            <w:pPr>
              <w:spacing w:after="40" w:before="40"/>
            </w:pPr>
            <w:r>
              <w:rPr>
                <w:rFonts w:ascii="Arial" w:cs="Arial" w:eastAsia="Arial" w:hAnsi="Arial"/>
                <w:b w:val="false"/>
                <w:bCs w:val="false"/>
                <w:i w:val="false"/>
                <w:iCs w:val="false"/>
                <w:color w:val="000000"/>
                <w:sz w:val="22"/>
                <w:szCs w:val="22"/>
              </w:rPr>
              <w:t xml:space="preserve">The 2025 CDSCO dataset reflects a single year of approvals. Hepatitis drugs (tenofovir, entecavir, sofosbuvir) were approved in earlier years and do not appear in 2025. The analysis reflects current-year patterns, not cumulative lifetime approvals. Hepatitis remains a critical access and policy gap — the drugs exist, but diagnosis and primary care integration lag.</w:t>
            </w:r>
          </w:p>
        </w:tc>
      </w:tr>
    </w:tbl>
    <w:p>
      <w:pPr>
        <w:spacing w:after="80" w:before="80"/>
      </w:pPr>
      <w:r>
        <w:t xml:space="preserve"/>
      </w:r>
    </w:p>
    <w:p>
      <w:pPr>
        <w:pStyle w:val="Heading2"/>
        <w:spacing w:after="100" w:before="260"/>
      </w:pPr>
      <w:r>
        <w:rPr>
          <w:rFonts w:ascii="Arial" w:cs="Arial" w:eastAsia="Arial" w:hAnsi="Arial"/>
          <w:b/>
          <w:bCs/>
          <w:color w:val="2E7D32"/>
          <w:sz w:val="26"/>
          <w:szCs w:val="26"/>
        </w:rPr>
        <w:t xml:space="preserve">Key Findings at a Glance</w:t>
      </w:r>
    </w:p>
    <w:p>
      <w:pPr>
        <w:pStyle w:val="ListParagraph"/>
        <w:numPr>
          <w:ilvl w:val="0"/>
          <w:numId w:val="2"/>
        </w:numPr>
        <w:spacing w:after="60" w:before="60"/>
      </w:pPr>
      <w:r>
        <w:rPr>
          <w:rFonts w:ascii="Arial" w:cs="Arial" w:eastAsia="Arial" w:hAnsi="Arial"/>
          <w:b/>
          <w:bCs/>
          <w:sz w:val="22"/>
          <w:szCs w:val="22"/>
        </w:rPr>
        <w:t xml:space="preserve">Inflammation &amp; Immunology:</w:t>
      </w:r>
      <w:r>
        <w:rPr>
          <w:rFonts w:ascii="Arial" w:cs="Arial" w:eastAsia="Arial" w:hAnsi="Arial"/>
          <w:b w:val="false"/>
          <w:bCs w:val="false"/>
          <w:sz w:val="22"/>
          <w:szCs w:val="22"/>
        </w:rPr>
        <w:t xml:space="preserve"> Most under-served (+6 each) — high burden, minimal 2025 approvals.</w:t>
      </w:r>
    </w:p>
    <w:p>
      <w:pPr>
        <w:pStyle w:val="ListParagraph"/>
        <w:numPr>
          <w:ilvl w:val="0"/>
          <w:numId w:val="2"/>
        </w:numPr>
        <w:spacing w:after="60" w:before="60"/>
      </w:pPr>
      <w:r>
        <w:rPr>
          <w:rFonts w:ascii="Arial" w:cs="Arial" w:eastAsia="Arial" w:hAnsi="Arial"/>
          <w:b/>
          <w:bCs/>
          <w:sz w:val="22"/>
          <w:szCs w:val="22"/>
        </w:rPr>
        <w:t xml:space="preserve">Cardiovascular:</w:t>
      </w:r>
      <w:r>
        <w:rPr>
          <w:rFonts w:ascii="Arial" w:cs="Arial" w:eastAsia="Arial" w:hAnsi="Arial"/>
          <w:b w:val="false"/>
          <w:bCs w:val="false"/>
          <w:sz w:val="22"/>
          <w:szCs w:val="22"/>
        </w:rPr>
        <w:t xml:space="preserve"> Most over-served (−8) — highest approvals despite only 2nd highest burden.</w:t>
      </w:r>
    </w:p>
    <w:p>
      <w:pPr>
        <w:pStyle w:val="ListParagraph"/>
        <w:numPr>
          <w:ilvl w:val="0"/>
          <w:numId w:val="2"/>
        </w:numPr>
        <w:spacing w:after="60" w:before="60"/>
      </w:pPr>
      <w:r>
        <w:rPr>
          <w:rFonts w:ascii="Arial" w:cs="Arial" w:eastAsia="Arial" w:hAnsi="Arial"/>
          <w:b/>
          <w:bCs/>
          <w:sz w:val="22"/>
          <w:szCs w:val="22"/>
        </w:rPr>
        <w:t xml:space="preserve">Diabetes / Obesity:</w:t>
      </w:r>
      <w:r>
        <w:rPr>
          <w:rFonts w:ascii="Arial" w:cs="Arial" w:eastAsia="Arial" w:hAnsi="Arial"/>
          <w:b w:val="false"/>
          <w:bCs w:val="false"/>
          <w:sz w:val="22"/>
          <w:szCs w:val="22"/>
        </w:rPr>
        <w:t xml:space="preserve"> Over-served (−5) — GLP-1 commercial wave (Tirzepatide, Retatrutide, LY3502970) inflating approvals.</w:t>
      </w:r>
    </w:p>
    <w:p>
      <w:pPr>
        <w:pStyle w:val="ListParagraph"/>
        <w:numPr>
          <w:ilvl w:val="0"/>
          <w:numId w:val="2"/>
        </w:numPr>
        <w:spacing w:after="60" w:before="60"/>
      </w:pPr>
      <w:r>
        <w:rPr>
          <w:rFonts w:ascii="Arial" w:cs="Arial" w:eastAsia="Arial" w:hAnsi="Arial"/>
          <w:b/>
          <w:bCs/>
          <w:sz w:val="22"/>
          <w:szCs w:val="22"/>
        </w:rPr>
        <w:t xml:space="preserve">Hepatitis:</w:t>
      </w:r>
      <w:r>
        <w:rPr>
          <w:rFonts w:ascii="Arial" w:cs="Arial" w:eastAsia="Arial" w:hAnsi="Arial"/>
          <w:b w:val="false"/>
          <w:bCs w:val="false"/>
          <w:sz w:val="22"/>
          <w:szCs w:val="22"/>
        </w:rPr>
        <w:t xml:space="preserve"> Zero 2025 approvals — a policy/access gap, not an R&amp;D gap.</w:t>
      </w:r>
    </w:p>
    <w:p>
      <w:pPr>
        <w:pStyle w:val="ListParagraph"/>
        <w:numPr>
          <w:ilvl w:val="0"/>
          <w:numId w:val="2"/>
        </w:numPr>
        <w:spacing w:after="60" w:before="60"/>
      </w:pPr>
      <w:r>
        <w:rPr>
          <w:rFonts w:ascii="Arial" w:cs="Arial" w:eastAsia="Arial" w:hAnsi="Arial"/>
          <w:b/>
          <w:bCs/>
          <w:sz w:val="22"/>
          <w:szCs w:val="22"/>
        </w:rPr>
        <w:t xml:space="preserve">System-wide average gap = +1.31:</w:t>
      </w:r>
      <w:r>
        <w:rPr>
          <w:rFonts w:ascii="Arial" w:cs="Arial" w:eastAsia="Arial" w:hAnsi="Arial"/>
          <w:b w:val="false"/>
          <w:bCs w:val="false"/>
          <w:sz w:val="22"/>
          <w:szCs w:val="22"/>
        </w:rPr>
        <w:t xml:space="preserve"> Positive bias confirms market forces consistently under-serve high-burden areas.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2"/>
              <w:left w:val="single" w:color="F57F17" w:sz="12"/>
              <w:bottom w:val="single" w:color="F57F17" w:sz="12"/>
              <w:right w:val="single" w:color="F57F17" w:sz="12"/>
            </w:tcBorders>
            <w:shd w:fill="FFF8E1"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Recommendation</w:t>
            </w:r>
          </w:p>
          <w:p>
            <w:pPr>
              <w:spacing w:after="40" w:before="40"/>
            </w:pPr>
            <w:r>
              <w:rPr>
                <w:rFonts w:ascii="Arial" w:cs="Arial" w:eastAsia="Arial" w:hAnsi="Arial"/>
                <w:b w:val="false"/>
                <w:bCs w:val="false"/>
                <w:i w:val="false"/>
                <w:iCs w:val="false"/>
                <w:color w:val="000000"/>
                <w:sz w:val="22"/>
                <w:szCs w:val="22"/>
              </w:rPr>
              <w:t xml:space="preserve">CDSCO needs 3–5 additional approvals/year in Inflammation, Immunology, and Infectious disease to match High-SDI benchmarks. Hepatitis requires a policy response — access and diagnosis integration, not new drug development.</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760"/>
      </w:tblGrid>
      <w:tr>
        <w:trPr>
          <w:tblHeader/>
        </w:trPr>
        <w:tc>
          <w:tcPr>
            <w:tcW w:type="dxa" w:w="24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Data Type</w:t>
            </w:r>
          </w:p>
        </w:tc>
        <w:tc>
          <w:tcPr>
            <w:tcW w:type="dxa" w:w="2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Source</w:t>
            </w:r>
          </w:p>
        </w:tc>
        <w:tc>
          <w:tcPr>
            <w:tcW w:type="dxa" w:w="1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Year(s)</w:t>
            </w:r>
          </w:p>
        </w:tc>
        <w:tc>
          <w:tcPr>
            <w:tcW w:type="dxa" w:w="1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Records</w:t>
            </w:r>
          </w:p>
        </w:tc>
        <w:tc>
          <w:tcPr>
            <w:tcW w:type="dxa" w:w="17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Status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Drug approvals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CDSCO Online Document Repository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49 drugs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Disease burden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WHO Global Burden of Disease (GBD 2019)</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2019–2021</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 areas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Downloaded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prevalence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IDF Diabetes Atlas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figure</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Extracted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Market growth</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Pharma Trac / IBEF reports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2025–2026</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News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Extracted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 burden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WHO 2026 Global Hepatitis Report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2026</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figure</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Extracted</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Benchmark (High-SDI)</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FDA / EMA Annual Reports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2025</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Proportions</w:t>
            </w:r>
          </w:p>
        </w:tc>
        <w:tc>
          <w:tcPr>
            <w:tcW w:type="dxa" w:w="1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Scaled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2"/>
              <w:left w:val="single" w:color="F57F17" w:sz="12"/>
              <w:bottom w:val="single" w:color="F57F17" w:sz="12"/>
              <w:right w:val="single" w:color="F57F17" w:sz="12"/>
            </w:tcBorders>
            <w:shd w:fill="FFF8E1"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Key Data Limitation</w:t>
            </w:r>
          </w:p>
          <w:p>
            <w:pPr>
              <w:spacing w:after="40" w:before="40"/>
            </w:pPr>
            <w:r>
              <w:rPr>
                <w:rFonts w:ascii="Arial" w:cs="Arial" w:eastAsia="Arial" w:hAnsi="Arial"/>
                <w:b w:val="false"/>
                <w:bCs w:val="false"/>
                <w:i w:val="false"/>
                <w:iCs w:val="false"/>
                <w:color w:val="000000"/>
                <w:sz w:val="22"/>
                <w:szCs w:val="22"/>
              </w:rPr>
              <w:t xml:space="preserve">CDSCO data covers 2025 only (49 drugs). Historical approvals 2015–2024 were partially reconstructed from public news sources — ~87% coverage verified against CDSCO Annual Reports. Burden data uses GBD 2019 as the most complete India-specific dataset; 2026 figures are modelled extrapolations.</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3. GBD India – Disease Burden by Therapeutic Area</w:t>
      </w:r>
    </w:p>
    <w:p>
      <w:pPr>
        <w:spacing w:after="80" w:before="80"/>
      </w:pPr>
      <w:r>
        <w:rPr>
          <w:rFonts w:ascii="Arial" w:cs="Arial" w:eastAsia="Arial" w:hAnsi="Arial"/>
          <w:sz w:val="22"/>
          <w:szCs w:val="22"/>
        </w:rPr>
        <w:t xml:space="preserve">The table below presents the actual WHO GBD 2019 data underpinning all burden ranks in this analysis. This directly addresses the key methodological question: where do the burden ranks come from?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800"/>
        <w:gridCol w:w="1800"/>
        <w:gridCol w:w="960"/>
      </w:tblGrid>
      <w:tr>
        <w:trPr>
          <w:tblHeader/>
        </w:trPr>
        <w:tc>
          <w:tcPr>
            <w:tcW w:type="dxa" w:w="2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2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GBD Indicator</w:t>
            </w:r>
          </w:p>
        </w:tc>
        <w:tc>
          <w:tcPr>
            <w:tcW w:type="dxa" w:w="1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Value</w:t>
            </w:r>
          </w:p>
        </w:tc>
        <w:tc>
          <w:tcPr>
            <w:tcW w:type="dxa" w:w="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Year</w:t>
            </w:r>
          </w:p>
        </w:tc>
        <w:tc>
          <w:tcPr>
            <w:tcW w:type="dxa" w:w="1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Source</w:t>
            </w:r>
          </w:p>
        </w:tc>
        <w:tc>
          <w:tcPr>
            <w:tcW w:type="dxa" w:w="9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Burden Rank</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 diseases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Deaths (all ages, both sexes)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2.86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 (Lancet 2020)</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mellitus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Prevalence (20–79 years)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2021</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IDF Diabetes Atlas / GBD</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Cancer (all types)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Deaths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Chronic respiratory diseases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Neurological disorders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(stroke, epilepsy, dementia)</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diseases (excl. TB/HIV)</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Gastrointestinal diseases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Reproductive health</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(maternal disorders)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Dermatological conditions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Immunological disorders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(rheumatoid arthritis, etc.)</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Ophthalmological conditions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(vision loss)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Hematological disorders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(thalassemia, sickle cell)</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Blood product disorders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(haemophilia, etc.)</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Diagnostic needs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Proxy: testing gaps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2025</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WHO / CDSCO</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Musculoskeletal disorders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 (NCD-related)</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DALYs (inflammatory diseases)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million</w:t>
            </w:r>
          </w:p>
        </w:tc>
        <w:tc>
          <w:tcPr>
            <w:tcW w:type="dxa" w:w="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2019</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c>
          <w:tcPr>
            <w:tcW w:type="dxa" w:w="9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2"/>
              <w:bottom w:val="single" w:color="1565C0" w:sz="12"/>
              <w:right w:val="single" w:color="1565C0" w:sz="12"/>
            </w:tcBorders>
            <w:shd w:fill="E3F2FD"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Data Source</w:t>
            </w:r>
          </w:p>
          <w:p>
            <w:pPr>
              <w:spacing w:after="40" w:before="40"/>
            </w:pPr>
            <w:r>
              <w:rPr>
                <w:rFonts w:ascii="Arial" w:cs="Arial" w:eastAsia="Arial" w:hAnsi="Arial"/>
                <w:b w:val="false"/>
                <w:bCs w:val="false"/>
                <w:i w:val="false"/>
                <w:iCs w:val="false"/>
                <w:color w:val="000000"/>
                <w:sz w:val="22"/>
                <w:szCs w:val="22"/>
              </w:rPr>
              <w:t xml:space="preserve">GBD 2019 Diseases and Injuries Collaborators. (2020). Global burden of 369 diseases and injuries in 204 countries and territories. The Lancet, 396(10258), 1204–1222.</w:t>
            </w:r>
          </w:p>
          <w:p>
            <w:pPr>
              <w:spacing w:after="40" w:before="40"/>
            </w:pPr>
            <w:r>
              <w:rPr>
                <w:rFonts w:ascii="Arial" w:cs="Arial" w:eastAsia="Arial" w:hAnsi="Arial"/>
                <w:b w:val="false"/>
                <w:bCs w:val="false"/>
                <w:i/>
                <w:iCs/>
                <w:color w:val="000000"/>
                <w:sz w:val="22"/>
                <w:szCs w:val="22"/>
              </w:rPr>
              <w:t xml:space="preserve">Interactive data: vizhub.healthdata.org/gbd-results/ (India, All Ages, 2019)</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4. Methodology</w:t>
      </w:r>
    </w:p>
    <w:p>
      <w:pPr>
        <w:pStyle w:val="ListParagraph"/>
        <w:numPr>
          <w:ilvl w:val="0"/>
          <w:numId w:val="2"/>
        </w:numPr>
        <w:spacing w:after="60" w:before="60"/>
      </w:pPr>
      <w:r>
        <w:rPr>
          <w:rFonts w:ascii="Arial" w:cs="Arial" w:eastAsia="Arial" w:hAnsi="Arial"/>
          <w:b/>
          <w:bCs/>
          <w:sz w:val="22"/>
          <w:szCs w:val="22"/>
        </w:rPr>
        <w:t xml:space="preserve">Step 1 – Data Ingestion (Python):</w:t>
      </w:r>
      <w:r>
        <w:rPr>
          <w:rFonts w:ascii="Arial" w:cs="Arial" w:eastAsia="Arial" w:hAnsi="Arial"/>
          <w:b w:val="false"/>
          <w:bCs w:val="false"/>
          <w:sz w:val="22"/>
          <w:szCs w:val="22"/>
        </w:rPr>
        <w:t xml:space="preserve"> CDSCO CSV (49 drugs) loaded via pandas; 49 drugs normalised and grouped into 16 standardised therapeutic categories.</w:t>
      </w:r>
    </w:p>
    <w:p>
      <w:pPr>
        <w:pStyle w:val="ListParagraph"/>
        <w:numPr>
          <w:ilvl w:val="0"/>
          <w:numId w:val="2"/>
        </w:numPr>
        <w:spacing w:after="60" w:before="60"/>
      </w:pPr>
      <w:r>
        <w:rPr>
          <w:rFonts w:ascii="Arial" w:cs="Arial" w:eastAsia="Arial" w:hAnsi="Arial"/>
          <w:b/>
          <w:bCs/>
          <w:sz w:val="22"/>
          <w:szCs w:val="22"/>
        </w:rPr>
        <w:t xml:space="preserve">Step 2 – Approval Ranking (Python + SQL):</w:t>
      </w:r>
      <w:r>
        <w:rPr>
          <w:rFonts w:ascii="Arial" w:cs="Arial" w:eastAsia="Arial" w:hAnsi="Arial"/>
          <w:b w:val="false"/>
          <w:bCs w:val="false"/>
          <w:sz w:val="22"/>
          <w:szCs w:val="22"/>
        </w:rPr>
        <w:t xml:space="preserve"> COUNT(*) per area; RANK() OVER (ORDER BY approval_count DESC). Oncology ranked 1st with 10 drugs.</w:t>
      </w:r>
    </w:p>
    <w:p>
      <w:pPr>
        <w:pStyle w:val="ListParagraph"/>
        <w:numPr>
          <w:ilvl w:val="0"/>
          <w:numId w:val="2"/>
        </w:numPr>
        <w:spacing w:after="60" w:before="60"/>
      </w:pPr>
      <w:r>
        <w:rPr>
          <w:rFonts w:ascii="Arial" w:cs="Arial" w:eastAsia="Arial" w:hAnsi="Arial"/>
          <w:b/>
          <w:bCs/>
          <w:sz w:val="22"/>
          <w:szCs w:val="22"/>
        </w:rPr>
        <w:t xml:space="preserve">Step 3 – Burden Ranking (SQL + WHO GBD):</w:t>
      </w:r>
      <w:r>
        <w:rPr>
          <w:rFonts w:ascii="Arial" w:cs="Arial" w:eastAsia="Arial" w:hAnsi="Arial"/>
          <w:b w:val="false"/>
          <w:bCs w:val="false"/>
          <w:sz w:val="22"/>
          <w:szCs w:val="22"/>
        </w:rPr>
        <w:t xml:space="preserve"> 16 areas ranked by WHO GBD 2019 DALYs/deaths for India (see Section 3). Diabetes/Obesity ranked 1st.</w:t>
      </w:r>
    </w:p>
    <w:p>
      <w:pPr>
        <w:pStyle w:val="ListParagraph"/>
        <w:numPr>
          <w:ilvl w:val="0"/>
          <w:numId w:val="2"/>
        </w:numPr>
        <w:spacing w:after="60" w:before="60"/>
      </w:pPr>
      <w:r>
        <w:rPr>
          <w:rFonts w:ascii="Arial" w:cs="Arial" w:eastAsia="Arial" w:hAnsi="Arial"/>
          <w:b/>
          <w:bCs/>
          <w:sz w:val="22"/>
          <w:szCs w:val="22"/>
        </w:rPr>
        <w:t xml:space="preserve">Step 4 – Gap Calculation (SQL):</w:t>
      </w:r>
      <w:r>
        <w:rPr>
          <w:rFonts w:ascii="Arial" w:cs="Arial" w:eastAsia="Arial" w:hAnsi="Arial"/>
          <w:b w:val="false"/>
          <w:bCs w:val="false"/>
          <w:sz w:val="22"/>
          <w:szCs w:val="22"/>
        </w:rPr>
        <w:t xml:space="preserve"> gap = burden_rank − COALESCE(approval_rank, 17). LEFT JOIN ensures zero-approval areas receive rank 17 (penalised).</w:t>
      </w:r>
    </w:p>
    <w:p>
      <w:pPr>
        <w:pStyle w:val="ListParagraph"/>
        <w:numPr>
          <w:ilvl w:val="0"/>
          <w:numId w:val="2"/>
        </w:numPr>
        <w:spacing w:after="60" w:before="60"/>
      </w:pPr>
      <w:r>
        <w:rPr>
          <w:rFonts w:ascii="Arial" w:cs="Arial" w:eastAsia="Arial" w:hAnsi="Arial"/>
          <w:b/>
          <w:bCs/>
          <w:sz w:val="22"/>
          <w:szCs w:val="22"/>
        </w:rPr>
        <w:t xml:space="preserve">Step 5 – Sensitivity Analysis:</w:t>
      </w:r>
      <w:r>
        <w:rPr>
          <w:rFonts w:ascii="Arial" w:cs="Arial" w:eastAsia="Arial" w:hAnsi="Arial"/>
          <w:b w:val="false"/>
          <w:bCs w:val="false"/>
          <w:sz w:val="22"/>
          <w:szCs w:val="22"/>
        </w:rPr>
        <w:t xml:space="preserve"> Burden ranks shifted ±1 to test robustness. Results stable across all key areas (see Section 8).</w:t>
      </w:r>
    </w:p>
    <w:p>
      <w:pPr>
        <w:pStyle w:val="ListParagraph"/>
        <w:numPr>
          <w:ilvl w:val="0"/>
          <w:numId w:val="2"/>
        </w:numPr>
        <w:spacing w:after="60" w:before="60"/>
      </w:pPr>
      <w:r>
        <w:rPr>
          <w:rFonts w:ascii="Arial" w:cs="Arial" w:eastAsia="Arial" w:hAnsi="Arial"/>
          <w:b/>
          <w:bCs/>
          <w:sz w:val="22"/>
          <w:szCs w:val="22"/>
        </w:rPr>
        <w:t xml:space="preserve">Step 6 – Visualisation (Python + Power BI):</w:t>
      </w:r>
      <w:r>
        <w:rPr>
          <w:rFonts w:ascii="Arial" w:cs="Arial" w:eastAsia="Arial" w:hAnsi="Arial"/>
          <w:b w:val="false"/>
          <w:bCs w:val="false"/>
          <w:sz w:val="22"/>
          <w:szCs w:val="22"/>
        </w:rPr>
        <w:t xml:space="preserve"> Bubble chart, diverging bar, vertical bar, and interactive Power BI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2"/>
              <w:bottom w:val="single" w:color="1565C0" w:sz="12"/>
              <w:right w:val="single" w:color="1565C0" w:sz="12"/>
            </w:tcBorders>
            <w:shd w:fill="E3F2FD"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Tools &amp; Stack</w:t>
            </w:r>
          </w:p>
          <w:p>
            <w:pPr>
              <w:spacing w:after="40" w:before="40"/>
            </w:pPr>
            <w:r>
              <w:rPr>
                <w:rFonts w:ascii="Arial" w:cs="Arial" w:eastAsia="Arial" w:hAnsi="Arial"/>
                <w:b w:val="false"/>
                <w:bCs w:val="false"/>
                <w:i w:val="false"/>
                <w:iCs w:val="false"/>
                <w:color w:val="000000"/>
                <w:sz w:val="22"/>
                <w:szCs w:val="22"/>
              </w:rPr>
              <w:t xml:space="preserve">Python 3 (pandas, matplotlib, numpy)  •  SQL / DuckDB (CTEs, RANK window function, LEFT JOIN, COALESCE)  •  Power BI Desktop  •  Jupyter Notebook  •  Excel (GBD data)  •  GitHub Gist</w:t>
            </w:r>
          </w:p>
        </w:tc>
      </w:tr>
    </w:tbl>
    <w:p>
      <w:pPr>
        <w:spacing w:after="80" w:before="80"/>
      </w:pPr>
      <w:r>
        <w:t xml:space="preserve"/>
      </w:r>
    </w:p>
    <w:p>
      <w:pPr>
        <w:pStyle w:val="Heading2"/>
        <w:spacing w:after="100" w:before="260"/>
      </w:pPr>
      <w:r>
        <w:rPr>
          <w:rFonts w:ascii="Arial" w:cs="Arial" w:eastAsia="Arial" w:hAnsi="Arial"/>
          <w:b/>
          <w:bCs/>
          <w:color w:val="2E7D32"/>
          <w:sz w:val="26"/>
          <w:szCs w:val="26"/>
        </w:rPr>
        <w:t xml:space="preserve">Methodology Note: Rank-Based vs. Ratio-Based Gap</w:t>
      </w:r>
    </w:p>
    <w:p>
      <w:pPr>
        <w:spacing w:after="80" w:before="80"/>
      </w:pPr>
      <w:r>
        <w:rPr>
          <w:rFonts w:ascii="Arial" w:cs="Arial" w:eastAsia="Arial" w:hAnsi="Arial"/>
          <w:sz w:val="22"/>
          <w:szCs w:val="22"/>
        </w:rPr>
        <w:t xml:space="preserve">This analysis uses ordinal rank subtraction (burden_rank − approval_rank). An alternative continuous approach would compute approvals per million DALYs. The rank-based method was chosen for interpretability and to handle the heterogeneous GBD indicators (deaths, DALYs, prevalence) across areas. The sensitivity analysis (Section 8) confirms that conclusions are robust to small rank shifts.</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5. SQL Query – Gap Calculation (DuckDB)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CTE / Clause</w:t>
            </w:r>
          </w:p>
        </w:tc>
        <w:tc>
          <w:tcPr>
            <w:tcW w:type="dxa" w:w="4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Purpose</w:t>
            </w:r>
          </w:p>
        </w:tc>
        <w:tc>
          <w:tcPr>
            <w:tcW w:type="dxa" w:w="33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Key Function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approval_counts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COUNT drugs per therapeutic area from CDSCO CSV</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COUNT(*) GROUP BY</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approval_ranks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Rank areas by approval count descending</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RANK() OVER (ORDER BY count DESC)</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burden_ranks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Hard-coded VALUES table of 16 areas with WHO GBD ranks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VALUES / inline table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Final SELECT</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LEFT JOIN burden ← approvals; compute gap</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COALESCE(rank, 17) for zero-approval penalty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1E2E" w:val="clear"/>
            <w:tcMar>
              <w:top w:type="dxa" w:w="60"/>
              <w:left w:type="dxa" w:w="0"/>
              <w:bottom w:type="dxa" w:w="0"/>
              <w:right w:type="dxa" w:w="0"/>
            </w:tcMar>
          </w:tcPr>
          <w:p>
            <w:r>
              <w:t xml:space="preserve"/>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6A9955"/>
                <w:sz w:val="18"/>
                <w:szCs w:val="18"/>
              </w:rPr>
              <w:t xml:space="preserve">-- gap_analysis.sql  |  India Drug Approval Gap Analysis</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6A9955"/>
                <w:sz w:val="18"/>
                <w:szCs w:val="18"/>
              </w:rPr>
              <w:t xml:space="preserve">-- Calculates gap = burden_rank - approval_rank per therapeutic area</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6A9955"/>
                <w:sz w:val="18"/>
                <w:szCs w:val="18"/>
              </w:rPr>
              <w:t xml:space="preserve">-- Source: CDSCO drug approvals (2025) + WHO GBD burden ranks</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b/>
                <w:bCs/>
                <w:color w:val="569CD6"/>
                <w:sz w:val="18"/>
                <w:szCs w:val="18"/>
              </w:rPr>
              <w:t xml:space="preserve">WITH </w:t>
            </w:r>
            <w:r>
              <w:rPr>
                <w:rFonts w:ascii="Courier New" w:cs="Courier New" w:eastAsia="Courier New" w:hAnsi="Courier New"/>
                <w:color w:val="9CDCFE"/>
                <w:sz w:val="18"/>
                <w:szCs w:val="18"/>
              </w:rPr>
              <w:t xml:space="preserve">approval_counts</w:t>
            </w:r>
            <w:r>
              <w:rPr>
                <w:rFonts w:ascii="Courier New" w:cs="Courier New" w:eastAsia="Courier New" w:hAnsi="Courier New"/>
                <w:b/>
                <w:bCs/>
                <w:color w:val="569CD6"/>
                <w:sz w:val="18"/>
                <w:szCs w:val="18"/>
              </w:rPr>
              <w:t xml:space="preserve"> AS (</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SELECT </w:t>
            </w:r>
            <w:r>
              <w:rPr>
                <w:rFonts w:ascii="Courier New" w:cs="Courier New" w:eastAsia="Courier New" w:hAnsi="Courier New"/>
                <w:color w:val="9CDCFE"/>
                <w:sz w:val="18"/>
                <w:szCs w:val="18"/>
              </w:rPr>
              <w:t xml:space="preserve">therapeutic_area</w:t>
            </w:r>
            <w:r>
              <w:rPr>
                <w:rFonts w:ascii="Courier New" w:cs="Courier New" w:eastAsia="Courier New" w:hAnsi="Courier New"/>
                <w:color w:val="D4D4D4"/>
                <w:sz w:val="18"/>
                <w:szCs w:val="18"/>
              </w:rPr>
              <w:t xml:space="preserve">, </w:t>
            </w:r>
            <w:r>
              <w:rPr>
                <w:rFonts w:ascii="Courier New" w:cs="Courier New" w:eastAsia="Courier New" w:hAnsi="Courier New"/>
                <w:color w:val="DCDCAA"/>
                <w:sz w:val="18"/>
                <w:szCs w:val="18"/>
              </w:rPr>
              <w:t xml:space="preserve">COUNT</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approval_count</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FROM </w:t>
            </w:r>
            <w:r>
              <w:rPr>
                <w:rFonts w:ascii="Courier New" w:cs="Courier New" w:eastAsia="Courier New" w:hAnsi="Courier New"/>
                <w:color w:val="CE9178"/>
                <w:sz w:val="18"/>
                <w:szCs w:val="18"/>
              </w:rPr>
              <w:t xml:space="preserve">'cdsco_approvals.csv'</w:t>
            </w:r>
            <w:r>
              <w:rPr>
                <w:rFonts w:ascii="Courier New" w:cs="Courier New" w:eastAsia="Courier New" w:hAnsi="Courier New"/>
                <w:b/>
                <w:bCs/>
                <w:color w:val="569CD6"/>
                <w:sz w:val="18"/>
                <w:szCs w:val="18"/>
              </w:rPr>
              <w:t xml:space="preserve">  GROUP BY </w:t>
            </w:r>
            <w:r>
              <w:rPr>
                <w:rFonts w:ascii="Courier New" w:cs="Courier New" w:eastAsia="Courier New" w:hAnsi="Courier New"/>
                <w:color w:val="9CDCFE"/>
                <w:sz w:val="18"/>
                <w:szCs w:val="18"/>
              </w:rPr>
              <w:t xml:space="preserve">therapeutic_area</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9CDCFE"/>
                <w:sz w:val="18"/>
                <w:szCs w:val="18"/>
              </w:rPr>
              <w:t xml:space="preserve">approval_ranks</w:t>
            </w:r>
            <w:r>
              <w:rPr>
                <w:rFonts w:ascii="Courier New" w:cs="Courier New" w:eastAsia="Courier New" w:hAnsi="Courier New"/>
                <w:b/>
                <w:bCs/>
                <w:color w:val="569CD6"/>
                <w:sz w:val="18"/>
                <w:szCs w:val="18"/>
              </w:rPr>
              <w:t xml:space="preserve"> AS (</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SELECT </w:t>
            </w:r>
            <w:r>
              <w:rPr>
                <w:rFonts w:ascii="Courier New" w:cs="Courier New" w:eastAsia="Courier New" w:hAnsi="Courier New"/>
                <w:color w:val="9CDCFE"/>
                <w:sz w:val="18"/>
                <w:szCs w:val="18"/>
              </w:rPr>
              <w:t xml:space="preserve">therapeutic_area</w:t>
            </w:r>
            <w:r>
              <w:rPr>
                <w:rFonts w:ascii="Courier New" w:cs="Courier New" w:eastAsia="Courier New" w:hAnsi="Courier New"/>
                <w:color w:val="D4D4D4"/>
                <w:sz w:val="18"/>
                <w:szCs w:val="18"/>
              </w:rPr>
              <w:t xml:space="preserve">, </w:t>
            </w:r>
            <w:r>
              <w:rPr>
                <w:rFonts w:ascii="Courier New" w:cs="Courier New" w:eastAsia="Courier New" w:hAnsi="Courier New"/>
                <w:color w:val="9CDCFE"/>
                <w:sz w:val="18"/>
                <w:szCs w:val="18"/>
              </w:rPr>
              <w:t xml:space="preserve">approval_count</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DCDCAA"/>
                <w:sz w:val="18"/>
                <w:szCs w:val="18"/>
              </w:rPr>
              <w:t xml:space="preserve">RANK</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OVER</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ORDER BY </w:t>
            </w:r>
            <w:r>
              <w:rPr>
                <w:rFonts w:ascii="Courier New" w:cs="Courier New" w:eastAsia="Courier New" w:hAnsi="Courier New"/>
                <w:color w:val="9CDCFE"/>
                <w:sz w:val="18"/>
                <w:szCs w:val="18"/>
              </w:rPr>
              <w:t xml:space="preserve">approval_count</w:t>
            </w:r>
            <w:r>
              <w:rPr>
                <w:rFonts w:ascii="Courier New" w:cs="Courier New" w:eastAsia="Courier New" w:hAnsi="Courier New"/>
                <w:b/>
                <w:bCs/>
                <w:color w:val="569CD6"/>
                <w:sz w:val="18"/>
                <w:szCs w:val="18"/>
              </w:rPr>
              <w:t xml:space="preserve"> DESC</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approval_rank</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FROM </w:t>
            </w:r>
            <w:r>
              <w:rPr>
                <w:rFonts w:ascii="Courier New" w:cs="Courier New" w:eastAsia="Courier New" w:hAnsi="Courier New"/>
                <w:color w:val="9CDCFE"/>
                <w:sz w:val="18"/>
                <w:szCs w:val="18"/>
              </w:rPr>
              <w:t xml:space="preserve">approval_counts</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9CDCFE"/>
                <w:sz w:val="18"/>
                <w:szCs w:val="18"/>
              </w:rPr>
              <w:t xml:space="preserve">burden_ranks</w:t>
            </w:r>
            <w:r>
              <w:rPr>
                <w:rFonts w:ascii="Courier New" w:cs="Courier New" w:eastAsia="Courier New" w:hAnsi="Courier New"/>
                <w:b/>
                <w:bCs/>
                <w:color w:val="569CD6"/>
                <w:sz w:val="18"/>
                <w:szCs w:val="18"/>
              </w:rPr>
              <w:t xml:space="preserve"> AS (</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SELECT </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FROM </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VALUES</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'Diabetes / Obesity'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'Cardiovascular'</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'Oncology'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'Respiratory (COPD)'</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4</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'Neurology'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5</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'Infectious disease'</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6</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'Gastrointestinal'</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'Reproductive health'</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8</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'Dermatology'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9</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'Immunology'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10</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'Ophthalmology'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11</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'Hematology'</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12</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'Blood product'</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13</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'Diagnostic'</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14</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'Musculoskeletal'</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15</w:t>
            </w:r>
            <w:r>
              <w:rPr>
                <w:rFonts w:ascii="Courier New" w:cs="Courier New" w:eastAsia="Courier New" w:hAnsi="Courier New"/>
                <w:color w:val="D4D4D4"/>
                <w:sz w:val="18"/>
                <w:szCs w:val="18"/>
              </w:rPr>
              <w:t xml:space="preserve">), (</w:t>
            </w:r>
            <w:r>
              <w:rPr>
                <w:rFonts w:ascii="Courier New" w:cs="Courier New" w:eastAsia="Courier New" w:hAnsi="Courier New"/>
                <w:color w:val="CE9178"/>
                <w:sz w:val="18"/>
                <w:szCs w:val="18"/>
              </w:rPr>
              <w:t xml:space="preserve">'Inflammation'</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16</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b</w:t>
            </w:r>
            <w:r>
              <w:rPr>
                <w:rFonts w:ascii="Courier New" w:cs="Courier New" w:eastAsia="Courier New" w:hAnsi="Courier New"/>
                <w:color w:val="D4D4D4"/>
                <w:sz w:val="18"/>
                <w:szCs w:val="18"/>
              </w:rPr>
              <w:t xml:space="preserve">(</w:t>
            </w:r>
            <w:r>
              <w:rPr>
                <w:rFonts w:ascii="Courier New" w:cs="Courier New" w:eastAsia="Courier New" w:hAnsi="Courier New"/>
                <w:color w:val="9CDCFE"/>
                <w:sz w:val="18"/>
                <w:szCs w:val="18"/>
              </w:rPr>
              <w:t xml:space="preserve">therapeutic_area</w:t>
            </w:r>
            <w:r>
              <w:rPr>
                <w:rFonts w:ascii="Courier New" w:cs="Courier New" w:eastAsia="Courier New" w:hAnsi="Courier New"/>
                <w:color w:val="D4D4D4"/>
                <w:sz w:val="18"/>
                <w:szCs w:val="18"/>
              </w:rPr>
              <w:t xml:space="preserve">, </w:t>
            </w:r>
            <w:r>
              <w:rPr>
                <w:rFonts w:ascii="Courier New" w:cs="Courier New" w:eastAsia="Courier New" w:hAnsi="Courier New"/>
                <w:color w:val="9CDCFE"/>
                <w:sz w:val="18"/>
                <w:szCs w:val="18"/>
              </w:rPr>
              <w:t xml:space="preserve">burden_rank</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b/>
                <w:bCs/>
                <w:color w:val="569CD6"/>
                <w:sz w:val="18"/>
                <w:szCs w:val="18"/>
              </w:rPr>
              <w:t xml:space="preserve">SELECT</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9CDCFE"/>
                <w:sz w:val="18"/>
                <w:szCs w:val="18"/>
              </w:rPr>
              <w:t xml:space="preserve">b.therapeutic_area</w:t>
            </w:r>
            <w:r>
              <w:rPr>
                <w:rFonts w:ascii="Courier New" w:cs="Courier New" w:eastAsia="Courier New" w:hAnsi="Courier New"/>
                <w:color w:val="D4D4D4"/>
                <w:sz w:val="18"/>
                <w:szCs w:val="18"/>
              </w:rPr>
              <w:t xml:space="preserve">, </w:t>
            </w:r>
            <w:r>
              <w:rPr>
                <w:rFonts w:ascii="Courier New" w:cs="Courier New" w:eastAsia="Courier New" w:hAnsi="Courier New"/>
                <w:color w:val="9CDCFE"/>
                <w:sz w:val="18"/>
                <w:szCs w:val="18"/>
              </w:rPr>
              <w:t xml:space="preserve">b.burden_rank</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DCDCAA"/>
                <w:sz w:val="18"/>
                <w:szCs w:val="18"/>
              </w:rPr>
              <w:t xml:space="preserve">COALESCE</w:t>
            </w:r>
            <w:r>
              <w:rPr>
                <w:rFonts w:ascii="Courier New" w:cs="Courier New" w:eastAsia="Courier New" w:hAnsi="Courier New"/>
                <w:color w:val="D4D4D4"/>
                <w:sz w:val="18"/>
                <w:szCs w:val="18"/>
              </w:rPr>
              <w:t xml:space="preserve">(</w:t>
            </w:r>
            <w:r>
              <w:rPr>
                <w:rFonts w:ascii="Courier New" w:cs="Courier New" w:eastAsia="Courier New" w:hAnsi="Courier New"/>
                <w:color w:val="9CDCFE"/>
                <w:sz w:val="18"/>
                <w:szCs w:val="18"/>
              </w:rPr>
              <w:t xml:space="preserve">a.approval_count</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approval_count</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DCDCAA"/>
                <w:sz w:val="18"/>
                <w:szCs w:val="18"/>
              </w:rPr>
              <w:t xml:space="preserve">COALESCE</w:t>
            </w:r>
            <w:r>
              <w:rPr>
                <w:rFonts w:ascii="Courier New" w:cs="Courier New" w:eastAsia="Courier New" w:hAnsi="Courier New"/>
                <w:color w:val="D4D4D4"/>
                <w:sz w:val="18"/>
                <w:szCs w:val="18"/>
              </w:rPr>
              <w:t xml:space="preserve">(</w:t>
            </w:r>
            <w:r>
              <w:rPr>
                <w:rFonts w:ascii="Courier New" w:cs="Courier New" w:eastAsia="Courier New" w:hAnsi="Courier New"/>
                <w:color w:val="9CDCFE"/>
                <w:sz w:val="18"/>
                <w:szCs w:val="18"/>
              </w:rPr>
              <w:t xml:space="preserve">a.approval_rank</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17</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approval_rank</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color w:val="D4D4D4"/>
                <w:sz w:val="18"/>
                <w:szCs w:val="18"/>
              </w:rPr>
              <w:t xml:space="preserve">    </w:t>
            </w:r>
            <w:r>
              <w:rPr>
                <w:rFonts w:ascii="Courier New" w:cs="Courier New" w:eastAsia="Courier New" w:hAnsi="Courier New"/>
                <w:color w:val="9CDCFE"/>
                <w:sz w:val="18"/>
                <w:szCs w:val="18"/>
              </w:rPr>
              <w:t xml:space="preserve">b.burden_rank</w:t>
            </w:r>
            <w:r>
              <w:rPr>
                <w:rFonts w:ascii="Courier New" w:cs="Courier New" w:eastAsia="Courier New" w:hAnsi="Courier New"/>
                <w:color w:val="D4D4D4"/>
                <w:sz w:val="18"/>
                <w:szCs w:val="18"/>
              </w:rPr>
              <w:t xml:space="preserve"> - </w:t>
            </w:r>
            <w:r>
              <w:rPr>
                <w:rFonts w:ascii="Courier New" w:cs="Courier New" w:eastAsia="Courier New" w:hAnsi="Courier New"/>
                <w:color w:val="DCDCAA"/>
                <w:sz w:val="18"/>
                <w:szCs w:val="18"/>
              </w:rPr>
              <w:t xml:space="preserve">COALESCE</w:t>
            </w:r>
            <w:r>
              <w:rPr>
                <w:rFonts w:ascii="Courier New" w:cs="Courier New" w:eastAsia="Courier New" w:hAnsi="Courier New"/>
                <w:color w:val="D4D4D4"/>
                <w:sz w:val="18"/>
                <w:szCs w:val="18"/>
              </w:rPr>
              <w:t xml:space="preserve">(</w:t>
            </w:r>
            <w:r>
              <w:rPr>
                <w:rFonts w:ascii="Courier New" w:cs="Courier New" w:eastAsia="Courier New" w:hAnsi="Courier New"/>
                <w:color w:val="9CDCFE"/>
                <w:sz w:val="18"/>
                <w:szCs w:val="18"/>
              </w:rPr>
              <w:t xml:space="preserve">a.approval_rank</w:t>
            </w:r>
            <w:r>
              <w:rPr>
                <w:rFonts w:ascii="Courier New" w:cs="Courier New" w:eastAsia="Courier New" w:hAnsi="Courier New"/>
                <w:color w:val="D4D4D4"/>
                <w:sz w:val="18"/>
                <w:szCs w:val="18"/>
              </w:rPr>
              <w:t xml:space="preserve">, </w:t>
            </w:r>
            <w:r>
              <w:rPr>
                <w:rFonts w:ascii="Courier New" w:cs="Courier New" w:eastAsia="Courier New" w:hAnsi="Courier New"/>
                <w:color w:val="B5CEA8"/>
                <w:sz w:val="18"/>
                <w:szCs w:val="18"/>
              </w:rPr>
              <w:t xml:space="preserve">17</w:t>
            </w:r>
            <w:r>
              <w:rPr>
                <w:rFonts w:ascii="Courier New" w:cs="Courier New" w:eastAsia="Courier New" w:hAnsi="Courier New"/>
                <w:color w:val="D4D4D4"/>
                <w:sz w:val="18"/>
                <w:szCs w:val="18"/>
              </w:rPr>
              <w:t xml:space="preserve">) </w:t>
            </w:r>
            <w:r>
              <w:rPr>
                <w:rFonts w:ascii="Courier New" w:cs="Courier New" w:eastAsia="Courier New" w:hAnsi="Courier New"/>
                <w:b/>
                <w:bCs/>
                <w:color w:val="569CD6"/>
                <w:sz w:val="18"/>
                <w:szCs w:val="18"/>
              </w:rPr>
              <w:t xml:space="preserve">AS </w:t>
            </w:r>
            <w:r>
              <w:rPr>
                <w:rFonts w:ascii="Courier New" w:cs="Courier New" w:eastAsia="Courier New" w:hAnsi="Courier New"/>
                <w:color w:val="9CDCFE"/>
                <w:sz w:val="18"/>
                <w:szCs w:val="18"/>
              </w:rPr>
              <w:t xml:space="preserve">gap</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b/>
                <w:bCs/>
                <w:color w:val="569CD6"/>
                <w:sz w:val="18"/>
                <w:szCs w:val="18"/>
              </w:rPr>
              <w:t xml:space="preserve">FROM </w:t>
            </w:r>
            <w:r>
              <w:rPr>
                <w:rFonts w:ascii="Courier New" w:cs="Courier New" w:eastAsia="Courier New" w:hAnsi="Courier New"/>
                <w:color w:val="9CDCFE"/>
                <w:sz w:val="18"/>
                <w:szCs w:val="18"/>
              </w:rPr>
              <w:t xml:space="preserve">burden_ranks</w:t>
            </w:r>
            <w:r>
              <w:rPr>
                <w:rFonts w:ascii="Courier New" w:cs="Courier New" w:eastAsia="Courier New" w:hAnsi="Courier New"/>
                <w:color w:val="D4D4D4"/>
                <w:sz w:val="18"/>
                <w:szCs w:val="18"/>
              </w:rPr>
              <w:t xml:space="preserve"> b</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b/>
                <w:bCs/>
                <w:color w:val="569CD6"/>
                <w:sz w:val="18"/>
                <w:szCs w:val="18"/>
              </w:rPr>
              <w:t xml:space="preserve">LEFT JOIN </w:t>
            </w:r>
            <w:r>
              <w:rPr>
                <w:rFonts w:ascii="Courier New" w:cs="Courier New" w:eastAsia="Courier New" w:hAnsi="Courier New"/>
                <w:color w:val="9CDCFE"/>
                <w:sz w:val="18"/>
                <w:szCs w:val="18"/>
              </w:rPr>
              <w:t xml:space="preserve">approval_ranks</w:t>
            </w:r>
            <w:r>
              <w:rPr>
                <w:rFonts w:ascii="Courier New" w:cs="Courier New" w:eastAsia="Courier New" w:hAnsi="Courier New"/>
                <w:color w:val="D4D4D4"/>
                <w:sz w:val="18"/>
                <w:szCs w:val="18"/>
              </w:rPr>
              <w:t xml:space="preserve"> a </w:t>
            </w:r>
            <w:r>
              <w:rPr>
                <w:rFonts w:ascii="Courier New" w:cs="Courier New" w:eastAsia="Courier New" w:hAnsi="Courier New"/>
                <w:b/>
                <w:bCs/>
                <w:color w:val="569CD6"/>
                <w:sz w:val="18"/>
                <w:szCs w:val="18"/>
              </w:rPr>
              <w:t xml:space="preserve">ON </w:t>
            </w:r>
            <w:r>
              <w:rPr>
                <w:rFonts w:ascii="Courier New" w:cs="Courier New" w:eastAsia="Courier New" w:hAnsi="Courier New"/>
                <w:color w:val="9CDCFE"/>
                <w:sz w:val="18"/>
                <w:szCs w:val="18"/>
              </w:rPr>
              <w:t xml:space="preserve">b.therapeutic_area</w:t>
            </w:r>
            <w:r>
              <w:rPr>
                <w:rFonts w:ascii="Courier New" w:cs="Courier New" w:eastAsia="Courier New" w:hAnsi="Courier New"/>
                <w:color w:val="D4D4D4"/>
                <w:sz w:val="18"/>
                <w:szCs w:val="18"/>
              </w:rPr>
              <w:t xml:space="preserve"> = </w:t>
            </w:r>
            <w:r>
              <w:rPr>
                <w:rFonts w:ascii="Courier New" w:cs="Courier New" w:eastAsia="Courier New" w:hAnsi="Courier New"/>
                <w:color w:val="9CDCFE"/>
                <w:sz w:val="18"/>
                <w:szCs w:val="18"/>
              </w:rPr>
              <w:t xml:space="preserve">a.therapeutic_area</w:t>
            </w:r>
          </w:p>
        </w:tc>
      </w:tr>
      <w:tr>
        <w:tc>
          <w:tcPr>
            <w:tcBorders>
              <w:top w:val="none"/>
              <w:left w:val="none"/>
              <w:bottom w:val="none"/>
              <w:right w:val="none"/>
            </w:tcBorders>
            <w:shd w:fill="1E1E2E" w:val="clear"/>
            <w:tcMar>
              <w:top w:type="dxa" w:w="0"/>
              <w:left w:type="dxa" w:w="200"/>
              <w:bottom w:type="dxa" w:w="0"/>
              <w:right w:type="dxa" w:w="200"/>
            </w:tcMar>
          </w:tcPr>
          <w:p>
            <w:pPr>
              <w:spacing w:after="20" w:before="20"/>
            </w:pPr>
            <w:r>
              <w:rPr>
                <w:rFonts w:ascii="Courier New" w:cs="Courier New" w:eastAsia="Courier New" w:hAnsi="Courier New"/>
                <w:b/>
                <w:bCs/>
                <w:color w:val="569CD6"/>
                <w:sz w:val="18"/>
                <w:szCs w:val="18"/>
              </w:rPr>
              <w:t xml:space="preserve">ORDER BY </w:t>
            </w:r>
            <w:r>
              <w:rPr>
                <w:rFonts w:ascii="Courier New" w:cs="Courier New" w:eastAsia="Courier New" w:hAnsi="Courier New"/>
                <w:color w:val="9CDCFE"/>
                <w:sz w:val="18"/>
                <w:szCs w:val="18"/>
              </w:rPr>
              <w:t xml:space="preserve">gap</w:t>
            </w:r>
            <w:r>
              <w:rPr>
                <w:rFonts w:ascii="Courier New" w:cs="Courier New" w:eastAsia="Courier New" w:hAnsi="Courier New"/>
                <w:b/>
                <w:bCs/>
                <w:color w:val="569CD6"/>
                <w:sz w:val="18"/>
                <w:szCs w:val="18"/>
              </w:rPr>
              <w:t xml:space="preserve"> DESC</w:t>
            </w:r>
            <w:r>
              <w:rPr>
                <w:rFonts w:ascii="Courier New" w:cs="Courier New" w:eastAsia="Courier New" w:hAnsi="Courier New"/>
                <w:color w:val="D4D4D4"/>
                <w:sz w:val="18"/>
                <w:szCs w:val="18"/>
              </w:rPr>
              <w:t xml:space="preserve">;</w:t>
            </w:r>
          </w:p>
        </w:tc>
      </w:tr>
      <w:tr>
        <w:tc>
          <w:tcPr>
            <w:tcBorders>
              <w:top w:val="none"/>
              <w:left w:val="none"/>
              <w:bottom w:val="none"/>
              <w:right w:val="none"/>
            </w:tcBorders>
            <w:shd w:fill="1E1E2E" w:val="clear"/>
            <w:tcMar>
              <w:top w:type="dxa" w:w="0"/>
              <w:left w:type="dxa" w:w="0"/>
              <w:bottom w:type="dxa" w:w="60"/>
              <w:right w:type="dxa" w:w="0"/>
            </w:tcMar>
          </w:tcPr>
          <w:p>
            <w: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2"/>
              <w:bottom w:val="single" w:color="1565C0" w:sz="12"/>
              <w:right w:val="single" w:color="1565C0" w:sz="12"/>
            </w:tcBorders>
            <w:shd w:fill="E3F2FD"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Full source</w:t>
            </w:r>
          </w:p>
          <w:p>
            <w:pPr>
              <w:spacing w:after="40" w:before="40"/>
            </w:pPr>
            <w:r>
              <w:rPr>
                <w:rFonts w:ascii="Arial" w:cs="Arial" w:eastAsia="Arial" w:hAnsi="Arial"/>
                <w:b w:val="false"/>
                <w:bCs w:val="false"/>
                <w:i w:val="false"/>
                <w:iCs w:val="false"/>
                <w:color w:val="1565C0"/>
                <w:sz w:val="22"/>
                <w:szCs w:val="22"/>
              </w:rPr>
              <w:t xml:space="preserve">GitHub Gist: gist.github.com/chawlavatsal03-lab/872fa6e8496b68e6e8c3682371f66e02</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6. Gap Analysis Results (India, 2025)</w:t>
      </w:r>
    </w:p>
    <w:p>
      <w:pPr>
        <w:spacing w:after="80" w:before="80"/>
      </w:pPr>
      <w:r>
        <w:rPr>
          <w:rFonts w:ascii="Arial" w:cs="Arial" w:eastAsia="Arial" w:hAnsi="Arial"/>
          <w:sz w:val="22"/>
          <w:szCs w:val="22"/>
        </w:rPr>
        <w:t xml:space="preserve">Full 16-area results ordered by gap. Positive = under-served (burden exceeds approvals). Negative = over-served.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900"/>
        <w:gridCol w:w="1400"/>
        <w:gridCol w:w="2760"/>
      </w:tblGrid>
      <w:tr>
        <w:trPr>
          <w:tblHeader/>
        </w:trPr>
        <w:tc>
          <w:tcPr>
            <w:tcW w:type="dxa" w:w="1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1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Burden Rank</w:t>
            </w:r>
          </w:p>
        </w:tc>
        <w:tc>
          <w:tcPr>
            <w:tcW w:type="dxa" w:w="13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Approval Rank</w:t>
            </w:r>
          </w:p>
        </w:tc>
        <w:tc>
          <w:tcPr>
            <w:tcW w:type="dxa" w:w="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Gap</w:t>
            </w:r>
          </w:p>
        </w:tc>
        <w:tc>
          <w:tcPr>
            <w:tcW w:type="dxa" w:w="14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GBD Value</w:t>
            </w:r>
          </w:p>
        </w:tc>
        <w:tc>
          <w:tcPr>
            <w:tcW w:type="dxa" w:w="27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Interpretation</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Severely 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Severely 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Musculoskeletal</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Diagnostic</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 (proxy)</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Blood product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+3</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Mildly 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Hematology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Mildly 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Oncology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~0.8M deaths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Mildly under-served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Ophthalmology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Broadly balanced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Gastrointestinal</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Broadly balanced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Neurology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Balanced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Reproductive health</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Balanced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Dermatology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Slightly over-served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Respiratory (COPD)</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-2</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~25M DALYs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Over-served</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Obesity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101M prev.</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Over-served (GLP-1 wave)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3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-8</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2.86M deaths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Severely over-served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2E" w:sz="12"/>
              <w:left w:val="single" w:color="1F6B2E" w:sz="12"/>
              <w:bottom w:val="single" w:color="1F6B2E" w:sz="12"/>
              <w:right w:val="single" w:color="1F6B2E" w:sz="12"/>
            </w:tcBorders>
            <w:shd w:fill="E8F5E9"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Dashboard KPIs (Power BI)</w:t>
            </w:r>
          </w:p>
          <w:p>
            <w:pPr>
              <w:spacing w:after="40" w:before="40"/>
            </w:pPr>
            <w:r>
              <w:rPr>
                <w:rFonts w:ascii="Arial" w:cs="Arial" w:eastAsia="Arial" w:hAnsi="Arial"/>
                <w:b w:val="false"/>
                <w:bCs w:val="false"/>
                <w:i w:val="false"/>
                <w:iCs w:val="false"/>
                <w:color w:val="000000"/>
                <w:sz w:val="22"/>
                <w:szCs w:val="22"/>
              </w:rPr>
              <w:t xml:space="preserve">Average Gap = 1.31  •  Max Gap = +6  •  Min Gap = −8  •  Total Approvals = 49  •  Areas = 16</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7. Visualisations</w:t>
      </w:r>
    </w:p>
    <w:p>
      <w:pPr>
        <w:pStyle w:val="Heading2"/>
        <w:spacing w:after="100" w:before="260"/>
      </w:pPr>
      <w:r>
        <w:rPr>
          <w:rFonts w:ascii="Arial" w:cs="Arial" w:eastAsia="Arial" w:hAnsi="Arial"/>
          <w:b/>
          <w:bCs/>
          <w:color w:val="2E7D32"/>
          <w:sz w:val="26"/>
          <w:szCs w:val="26"/>
        </w:rPr>
        <w:t xml:space="preserve">Figure 1 – Bubble Chart: Burden vs. Approval Rank</w:t>
      </w:r>
    </w:p>
    <w:p>
      <w:pPr>
        <w:spacing w:after="80" w:before="80"/>
      </w:pPr>
      <w:r>
        <w:rPr>
          <w:rFonts w:ascii="Arial" w:cs="Arial" w:eastAsia="Arial" w:hAnsi="Arial"/>
          <w:sz w:val="22"/>
          <w:szCs w:val="22"/>
        </w:rPr>
        <w:t xml:space="preserve">X-axis = approval rank (1 = most approvals). Y-axis = burden rank (1 = highest burden). Bubble size and colour = gap magnitude (red/large = under-served; green = over-served). Ideal alignment would place all bubbles along the diagonal.</w:t>
      </w:r>
    </w:p>
    <w:p>
      <w:pPr>
        <w:spacing w:after="80" w:before="80"/>
      </w:pPr>
      <w:r>
        <w:t xml:space="preserve"/>
      </w:r>
    </w:p>
    <w:p>
      <w:pPr>
        <w:spacing w:after="60" w:before="100"/>
        <w:jc w:val="center"/>
      </w:pPr>
      <w:r>
        <w:drawing>
          <wp:inline distT="0" distB="0" distL="0" distR="0">
            <wp:extent cx="547687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36480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Drug Approval Gap Analysis — Burden vs Approval Rank. Cardiovascular sits top-left (high burden, most approvals = over-served). Inflammation/Immunology sit bottom-right (low approvals, moderate burden = under-served).</w:t>
      </w:r>
    </w:p>
    <w:p>
      <w:pPr>
        <w:pStyle w:val="Heading2"/>
        <w:spacing w:after="100" w:before="260"/>
      </w:pPr>
      <w:r>
        <w:rPr>
          <w:rFonts w:ascii="Arial" w:cs="Arial" w:eastAsia="Arial" w:hAnsi="Arial"/>
          <w:b/>
          <w:bCs/>
          <w:color w:val="2E7D32"/>
          <w:sz w:val="26"/>
          <w:szCs w:val="26"/>
        </w:rPr>
        <w:t xml:space="preserve">Figure 2 – Gap Magnitude (Diverging Horizontal Bar)</w:t>
      </w:r>
    </w:p>
    <w:p>
      <w:pPr>
        <w:spacing w:after="80" w:before="80"/>
      </w:pPr>
      <w:r>
        <w:rPr>
          <w:rFonts w:ascii="Arial" w:cs="Arial" w:eastAsia="Arial" w:hAnsi="Arial"/>
          <w:sz w:val="22"/>
          <w:szCs w:val="22"/>
        </w:rPr>
        <w:t xml:space="preserve">Red bars = under-served (positive gap). Green bars = over-served. Diverging layout directly reflects the SQL ORDER BY gap DESC output.</w:t>
      </w:r>
    </w:p>
    <w:p>
      <w:pPr>
        <w:spacing w:after="80" w:before="80"/>
      </w:pPr>
      <w:r>
        <w:t xml:space="preserve"/>
      </w:r>
    </w:p>
    <w:p>
      <w:pPr>
        <w:spacing w:after="60" w:before="100"/>
        <w:jc w:val="center"/>
      </w:pPr>
      <w:r>
        <w:drawing>
          <wp:inline distT="0" distB="0" distL="0" distR="0">
            <wp:extent cx="54768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27432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Gap Magnitude by Therapeutic Area. Inflammation/Immunology most under-served (+6). Cardiovascular most over-served (−8).</w:t>
      </w:r>
    </w:p>
    <w:p>
      <w:pPr>
        <w:pStyle w:val="Heading2"/>
        <w:spacing w:after="100" w:before="260"/>
      </w:pPr>
      <w:r>
        <w:rPr>
          <w:rFonts w:ascii="Arial" w:cs="Arial" w:eastAsia="Arial" w:hAnsi="Arial"/>
          <w:b/>
          <w:bCs/>
          <w:color w:val="2E7D32"/>
          <w:sz w:val="26"/>
          <w:szCs w:val="26"/>
        </w:rPr>
        <w:t xml:space="preserve">Figure 3 – Current Gap by Area (Vertical Bar, 2025)</w:t>
      </w:r>
    </w:p>
    <w:p>
      <w:pPr>
        <w:spacing w:after="80" w:before="80"/>
      </w:pPr>
      <w:r>
        <w:rPr>
          <w:rFonts w:ascii="Arial" w:cs="Arial" w:eastAsia="Arial" w:hAnsi="Arial"/>
          <w:sz w:val="22"/>
          <w:szCs w:val="22"/>
        </w:rPr>
        <w:t xml:space="preserve">Alternative view sorted highest-to-lowest gap for quick priority scanning at a glance.</w:t>
      </w:r>
    </w:p>
    <w:p>
      <w:pPr>
        <w:spacing w:after="80" w:before="80"/>
      </w:pPr>
      <w:r>
        <w:t xml:space="preserve"/>
      </w:r>
    </w:p>
    <w:p>
      <w:pPr>
        <w:spacing w:after="60" w:before="100"/>
        <w:jc w:val="center"/>
      </w:pPr>
      <w:r>
        <w:drawing>
          <wp:inline distT="0" distB="0" distL="0" distR="0">
            <wp:extent cx="54768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32861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Current Gap by Therapeutic Area (2025) — vertical view.</w:t>
      </w:r>
    </w:p>
    <w:p>
      <w:pPr>
        <w:pStyle w:val="Heading2"/>
        <w:spacing w:after="100" w:before="260"/>
      </w:pPr>
      <w:r>
        <w:rPr>
          <w:rFonts w:ascii="Arial" w:cs="Arial" w:eastAsia="Arial" w:hAnsi="Arial"/>
          <w:b/>
          <w:bCs/>
          <w:color w:val="2E7D32"/>
          <w:sz w:val="26"/>
          <w:szCs w:val="26"/>
        </w:rPr>
        <w:t xml:space="preserve">Figure 4 – Power BI Dashboard</w:t>
      </w:r>
    </w:p>
    <w:p>
      <w:pPr>
        <w:spacing w:after="80" w:before="80"/>
      </w:pPr>
      <w:r>
        <w:rPr>
          <w:rFonts w:ascii="Arial" w:cs="Arial" w:eastAsia="Arial" w:hAnsi="Arial"/>
          <w:sz w:val="22"/>
          <w:szCs w:val="22"/>
        </w:rPr>
        <w:t xml:space="preserve">Interactive dashboard integrating all measures: multi-series bar chart, KPI cards (Average Gap = 1.31, Max Gap = 6), gap distribution pie chart, and % of total gap table across all 16 areas.</w:t>
      </w:r>
    </w:p>
    <w:p>
      <w:pPr>
        <w:spacing w:after="80" w:before="80"/>
      </w:pPr>
      <w:r>
        <w:t xml:space="preserve"/>
      </w:r>
    </w:p>
    <w:p>
      <w:pPr>
        <w:spacing w:after="60" w:before="100"/>
        <w:jc w:val="center"/>
      </w:pPr>
      <w:r>
        <w:drawing>
          <wp:inline distT="0" distB="0" distL="0" distR="0">
            <wp:extent cx="547687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0765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Power BI Dashboard — Gap Analysis by Therapeutic Area (chawlavatsal03-lab / Gap_Analysis_Report.pbix)</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8. Sensitivity Analysis</w:t>
      </w:r>
    </w:p>
    <w:p>
      <w:pPr>
        <w:spacing w:after="80" w:before="80"/>
      </w:pPr>
      <w:r>
        <w:rPr>
          <w:rFonts w:ascii="Arial" w:cs="Arial" w:eastAsia="Arial" w:hAnsi="Arial"/>
          <w:sz w:val="22"/>
          <w:szCs w:val="22"/>
        </w:rPr>
        <w:t xml:space="preserve">To address the limitation that burden ranks are ordinal estimates rather than precise cardinal values, all burden ranks were shifted by ±1 position. The table shows original gaps vs. adjusted gaps: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14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Original Gap</w:t>
            </w:r>
          </w:p>
        </w:tc>
        <w:tc>
          <w:tcPr>
            <w:tcW w:type="dxa" w:w="16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Gap if Burden +1</w:t>
            </w:r>
          </w:p>
        </w:tc>
        <w:tc>
          <w:tcPr>
            <w:tcW w:type="dxa" w:w="16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Gap if Burden −1</w:t>
            </w:r>
          </w:p>
        </w:tc>
        <w:tc>
          <w:tcPr>
            <w:tcW w:type="dxa" w:w="25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Conclusion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+7</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+5</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 in all scenarios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+7</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+5</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 in all scenarios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+5</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+3</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Under-served in all scenarios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Obesity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-5</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-4</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-6</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Over-served in all scenarios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-8</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-7</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-9</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Over-served in all scenarios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Oncology</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+3</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+1</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Mildly under-served in all scenarios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2E" w:sz="12"/>
              <w:left w:val="single" w:color="1F6B2E" w:sz="12"/>
              <w:bottom w:val="single" w:color="1F6B2E" w:sz="12"/>
              <w:right w:val="single" w:color="1F6B2E" w:sz="12"/>
            </w:tcBorders>
            <w:shd w:fill="E8F5E9"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Conclusion: Results are robust to small changes in burden rank.</w:t>
            </w:r>
          </w:p>
          <w:p>
            <w:pPr>
              <w:spacing w:after="40" w:before="40"/>
            </w:pPr>
            <w:r>
              <w:rPr>
                <w:rFonts w:ascii="Arial" w:cs="Arial" w:eastAsia="Arial" w:hAnsi="Arial"/>
                <w:b w:val="false"/>
                <w:bCs w:val="false"/>
                <w:i w:val="false"/>
                <w:iCs w:val="false"/>
                <w:color w:val="000000"/>
                <w:sz w:val="22"/>
                <w:szCs w:val="22"/>
              </w:rPr>
              <w:t xml:space="preserve">No area changes from under-served to over-served (or vice versa) with a ±1 rank shift. The analysis is stable, validating the rank-based methodology.</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9. Root Cause Analysis – Why Do These Gaps Exist?</w:t>
      </w:r>
    </w:p>
    <w:p>
      <w:pPr>
        <w:spacing w:after="80" w:before="80"/>
      </w:pPr>
      <w:r>
        <w:rPr>
          <w:rFonts w:ascii="Arial" w:cs="Arial" w:eastAsia="Arial" w:hAnsi="Arial"/>
          <w:sz w:val="22"/>
          <w:szCs w:val="22"/>
        </w:rPr>
        <w:t xml:space="preserve">Identifying the gap is descriptive. Understanding why it exists transforms this into an explanatory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800"/>
        <w:gridCol w:w="2860"/>
      </w:tblGrid>
      <w:tr>
        <w:trPr>
          <w:tblHeader/>
        </w:trPr>
        <w:tc>
          <w:tcPr>
            <w:tcW w:type="dxa" w:w="1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Gap</w:t>
            </w:r>
          </w:p>
        </w:tc>
        <w:tc>
          <w:tcPr>
            <w:tcW w:type="dxa" w:w="3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Primary Barrier</w:t>
            </w:r>
          </w:p>
        </w:tc>
        <w:tc>
          <w:tcPr>
            <w:tcW w:type="dxa" w:w="28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Type of Gap</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 commercial priority in India; chronic conditions with weak payer market</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 / Market failure</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Complex biologics, high cold-chain requirements, affordability barriers</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Regulatory / Access</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Global decline in antibiotic R&amp;D; CDSCO not prioritising non-vaccine infectious drugs</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R&amp;D + Policy</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approvals</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Drugs exist (tenofovir, sofosbuvir); gap is diagnosis &amp; primary care access</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Access / Policy</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-8</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 global commercial return; well-established patent landscape in India</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Market-driven over-supply</w:t>
            </w:r>
          </w:p>
        </w:tc>
      </w:tr>
      <w:tr>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Obesity</w:t>
            </w:r>
          </w:p>
        </w:tc>
        <w:tc>
          <w:tcPr>
            <w:tcW w:type="dxa" w:w="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-5</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GLP-1 commercial wave (Tirzepatide, Retatrutide, LY3502970 in 2025 alone)</w:t>
            </w:r>
          </w:p>
        </w:tc>
        <w:tc>
          <w:tcPr>
            <w:tcW w:type="dxa" w:w="28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Commercial over-supply</w:t>
            </w:r>
          </w:p>
        </w:tc>
      </w:tr>
    </w:tbl>
    <w:p>
      <w:pPr>
        <w:spacing w:after="80" w:before="80"/>
      </w:pPr>
      <w:r>
        <w:t xml:space="preserve"/>
      </w:r>
    </w:p>
    <w:p>
      <w:pPr>
        <w:pStyle w:val="Heading2"/>
        <w:spacing w:after="100" w:before="260"/>
      </w:pPr>
      <w:r>
        <w:rPr>
          <w:rFonts w:ascii="Arial" w:cs="Arial" w:eastAsia="Arial" w:hAnsi="Arial"/>
          <w:b/>
          <w:bCs/>
          <w:color w:val="2E7D32"/>
          <w:sz w:val="26"/>
          <w:szCs w:val="26"/>
        </w:rPr>
        <w:t xml:space="preserve">Insight 1 – Inflammation: Commercial Blind Spot</w:t>
      </w:r>
    </w:p>
    <w:p>
      <w:pPr>
        <w:spacing w:after="80" w:before="80"/>
      </w:pPr>
      <w:r>
        <w:rPr>
          <w:rFonts w:ascii="Arial" w:cs="Arial" w:eastAsia="Arial" w:hAnsi="Arial"/>
          <w:sz w:val="22"/>
          <w:szCs w:val="22"/>
        </w:rPr>
        <w:t xml:space="preserve">Inflammation (NCD-related) has ~6 million DALYs in India but received only 1 CDSCO approval in 2025. Unlike biologics approved in the US (dupilumab, secukinumab), these drugs have limited India-specific Phase III trials, reflecting low commercial priority in a cost-sensitive market.</w:t>
      </w:r>
    </w:p>
    <w:p>
      <w:pPr>
        <w:pStyle w:val="Heading2"/>
        <w:spacing w:after="100" w:before="260"/>
      </w:pPr>
      <w:r>
        <w:rPr>
          <w:rFonts w:ascii="Arial" w:cs="Arial" w:eastAsia="Arial" w:hAnsi="Arial"/>
          <w:b/>
          <w:bCs/>
          <w:color w:val="2E7D32"/>
          <w:sz w:val="26"/>
          <w:szCs w:val="26"/>
        </w:rPr>
        <w:t xml:space="preserve">Insight 2 – Immunology: Biologic Access Barrier</w:t>
      </w:r>
    </w:p>
    <w:p>
      <w:pPr>
        <w:spacing w:after="80" w:before="80"/>
      </w:pPr>
      <w:r>
        <w:rPr>
          <w:rFonts w:ascii="Arial" w:cs="Arial" w:eastAsia="Arial" w:hAnsi="Arial"/>
          <w:sz w:val="22"/>
          <w:szCs w:val="22"/>
        </w:rPr>
        <w:t xml:space="preserve">Immunological disorders (~3M DALYs) are treated primarily with biologics requiring cold-chain storage — a logistics and affordability barrier in India. CDSCO approvals for biosimilars exist but are not captured in the 2025 single-year dataset.</w:t>
      </w:r>
    </w:p>
    <w:p>
      <w:pPr>
        <w:pStyle w:val="Heading2"/>
        <w:spacing w:after="100" w:before="260"/>
      </w:pPr>
      <w:r>
        <w:rPr>
          <w:rFonts w:ascii="Arial" w:cs="Arial" w:eastAsia="Arial" w:hAnsi="Arial"/>
          <w:b/>
          <w:bCs/>
          <w:color w:val="2E7D32"/>
          <w:sz w:val="26"/>
          <w:szCs w:val="26"/>
        </w:rPr>
        <w:t xml:space="preserve">Insight 3 – Cardiovascular: Market-Driven Over-Supply</w:t>
      </w:r>
    </w:p>
    <w:p>
      <w:pPr>
        <w:spacing w:after="80" w:before="80"/>
      </w:pPr>
      <w:r>
        <w:rPr>
          <w:rFonts w:ascii="Arial" w:cs="Arial" w:eastAsia="Arial" w:hAnsi="Arial"/>
          <w:sz w:val="22"/>
          <w:szCs w:val="22"/>
        </w:rPr>
        <w:t xml:space="preserve">Cardiovascular had the most approvals (approval rank 1) despite being only 2nd in burden (2.86M deaths). India's generic pharma industry and global CVD patent landscape mean India receives high approval volumes, including many incremental me-too drugs.</w:t>
      </w:r>
    </w:p>
    <w:p>
      <w:pPr>
        <w:pStyle w:val="Heading2"/>
        <w:spacing w:after="100" w:before="260"/>
      </w:pPr>
      <w:r>
        <w:rPr>
          <w:rFonts w:ascii="Arial" w:cs="Arial" w:eastAsia="Arial" w:hAnsi="Arial"/>
          <w:b/>
          <w:bCs/>
          <w:color w:val="2E7D32"/>
          <w:sz w:val="26"/>
          <w:szCs w:val="26"/>
        </w:rPr>
        <w:t xml:space="preserve">Insight 4 – Diabetes/Obesity: The GLP-1 Effect</w:t>
      </w:r>
    </w:p>
    <w:p>
      <w:pPr>
        <w:spacing w:after="80" w:before="80"/>
      </w:pPr>
      <w:r>
        <w:rPr>
          <w:rFonts w:ascii="Arial" w:cs="Arial" w:eastAsia="Arial" w:hAnsi="Arial"/>
          <w:sz w:val="22"/>
          <w:szCs w:val="22"/>
        </w:rPr>
        <w:t xml:space="preserve">Three GLP-1 receptor agonists appear in the 2025 CDSCO dataset alone. This mirrors the global pipeline driven by Novo Nordisk, Eli Lilly, and others. India ranks 1st in burden (101M diabetic) but is receiving commercially-driven approvals faster than the system can absorb them accessibly.</w:t>
      </w:r>
    </w:p>
    <w:p>
      <w:pPr>
        <w:pStyle w:val="Heading2"/>
        <w:spacing w:after="100" w:before="260"/>
      </w:pPr>
      <w:r>
        <w:rPr>
          <w:rFonts w:ascii="Arial" w:cs="Arial" w:eastAsia="Arial" w:hAnsi="Arial"/>
          <w:b/>
          <w:bCs/>
          <w:color w:val="2E7D32"/>
          <w:sz w:val="26"/>
          <w:szCs w:val="26"/>
        </w:rPr>
        <w:t xml:space="preserve">Insight 5 – Hepatitis: A Policy Failure, Not an R&amp;D Failure</w:t>
      </w:r>
    </w:p>
    <w:p>
      <w:pPr>
        <w:spacing w:after="80" w:before="80"/>
      </w:pPr>
      <w:r>
        <w:rPr>
          <w:rFonts w:ascii="Arial" w:cs="Arial" w:eastAsia="Arial" w:hAnsi="Arial"/>
          <w:sz w:val="22"/>
          <w:szCs w:val="22"/>
        </w:rPr>
        <w:t xml:space="preserve">Zero hepatitis approvals in 2025 does not mean there are no drugs. Tenofovir, entecavir, and sofosbuvir are established generics. The gap is in diagnosis (~40M chronically infected, majority undiagnosed) and primary care integration — a public health system failure, not a pharmaceutical one.</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10. Quantified Recommendations</w:t>
      </w:r>
    </w:p>
    <w:p>
      <w:pPr>
        <w:pStyle w:val="Heading2"/>
        <w:spacing w:after="100" w:before="260"/>
      </w:pPr>
      <w:r>
        <w:rPr>
          <w:rFonts w:ascii="Arial" w:cs="Arial" w:eastAsia="Arial" w:hAnsi="Arial"/>
          <w:b/>
          <w:bCs/>
          <w:color w:val="2E7D32"/>
          <w:sz w:val="26"/>
          <w:szCs w:val="26"/>
        </w:rPr>
        <w:t xml:space="preserve">Benchmark Methodology</w:t>
      </w:r>
    </w:p>
    <w:p>
      <w:pPr>
        <w:spacing w:after="80" w:before="80"/>
      </w:pPr>
      <w:r>
        <w:rPr>
          <w:rFonts w:ascii="Arial" w:cs="Arial" w:eastAsia="Arial" w:hAnsi="Arial"/>
          <w:sz w:val="22"/>
          <w:szCs w:val="22"/>
        </w:rPr>
        <w:t xml:space="preserve">High-SDI countries (USA, UK, Germany) approve approximately 50–60 new drugs per year. India's CDSCO approved ~50 drugs in 2025. The additional approvals needed are calculated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2"/>
              <w:left w:val="single" w:color="1565C0" w:sz="12"/>
              <w:bottom w:val="single" w:color="1565C0" w:sz="12"/>
              <w:right w:val="single" w:color="1565C0" w:sz="12"/>
            </w:tcBorders>
            <w:shd w:fill="E3F2FD"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Formula:</w:t>
            </w:r>
          </w:p>
          <w:p>
            <w:pPr>
              <w:spacing w:after="40" w:before="40"/>
            </w:pPr>
            <w:r>
              <w:rPr>
                <w:rFonts w:ascii="Arial" w:cs="Arial" w:eastAsia="Arial" w:hAnsi="Arial"/>
                <w:b w:val="false"/>
                <w:bCs w:val="false"/>
                <w:i/>
                <w:iCs/>
                <w:color w:val="000000"/>
                <w:sz w:val="22"/>
                <w:szCs w:val="22"/>
              </w:rPr>
              <w:t xml:space="preserve">Additional needed = (High-SDI proportion for area × total Indian approvals) − current Indian approvals</w:t>
            </w:r>
          </w:p>
          <w:p>
            <w:pPr>
              <w:spacing w:after="40" w:before="40"/>
            </w:pPr>
            <w:r>
              <w:rPr>
                <w:rFonts w:ascii="Arial" w:cs="Arial" w:eastAsia="Arial" w:hAnsi="Arial"/>
                <w:b w:val="false"/>
                <w:bCs w:val="false"/>
                <w:i w:val="false"/>
                <w:iCs w:val="false"/>
                <w:color w:val="000000"/>
                <w:sz w:val="22"/>
                <w:szCs w:val="22"/>
              </w:rPr>
              <w:t xml:space="preserve">High-SDI proportions derived from FDA / EMA annual reports, adjusted for India population scaling.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2000"/>
        <w:gridCol w:w="1660"/>
      </w:tblGrid>
      <w:tr>
        <w:trPr>
          <w:tblHeader/>
        </w:trPr>
        <w:tc>
          <w:tcPr>
            <w:tcW w:type="dxa" w:w="1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1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Current CDSCO Approvals (2025)</w:t>
            </w:r>
          </w:p>
        </w:tc>
        <w:tc>
          <w:tcPr>
            <w:tcW w:type="dxa" w:w="1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High-SDI Benchmark (scaled)</w:t>
            </w:r>
          </w:p>
        </w:tc>
        <w:tc>
          <w:tcPr>
            <w:tcW w:type="dxa" w:w="2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Additional Needed/Year</w:t>
            </w:r>
          </w:p>
        </w:tc>
        <w:tc>
          <w:tcPr>
            <w:tcW w:type="dxa" w:w="16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Priority</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Critical</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8–10</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Critical</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10–12</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High</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 (access, not approval)</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Policy action</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Oncology</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10–12</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 (innovation focus)</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Moderate</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Reduce — already over-supplied</w:t>
            </w:r>
          </w:p>
        </w:tc>
        <w:tc>
          <w:tcPr>
            <w:tcW w:type="dxa" w:w="16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Saturated</w:t>
            </w:r>
          </w:p>
        </w:tc>
      </w:tr>
    </w:tbl>
    <w:p>
      <w:pPr>
        <w:spacing w:after="80" w:before="80"/>
      </w:pPr>
      <w:r>
        <w:t xml:space="preserve"/>
      </w:r>
    </w:p>
    <w:p>
      <w:pPr>
        <w:pStyle w:val="Heading2"/>
        <w:spacing w:after="100" w:before="260"/>
      </w:pPr>
      <w:r>
        <w:rPr>
          <w:rFonts w:ascii="Arial" w:cs="Arial" w:eastAsia="Arial" w:hAnsi="Arial"/>
          <w:b/>
          <w:bCs/>
          <w:color w:val="2E7D32"/>
          <w:sz w:val="26"/>
          <w:szCs w:val="26"/>
        </w:rPr>
        <w:t xml:space="preserve">Stakeholder 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Stakeholder</w:t>
            </w:r>
          </w:p>
        </w:tc>
        <w:tc>
          <w:tcPr>
            <w:tcW w:type="dxa" w:w="5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Required Action</w:t>
            </w:r>
          </w:p>
        </w:tc>
        <w:tc>
          <w:tcPr>
            <w:tcW w:type="dxa" w:w="21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Target</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CDSCO</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 additional approvals/year for Inflammation, Immunology, Infectious disease</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2027–2028</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Dept. of Pharmaceuticals</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Incentivise applications for under-served biologic areas; reduce fees for Immunology/Inflammation</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Ministry of Health (MoHFW)</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 diagnosis &amp; primary care integration programme; 40M undiagnosed patients</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2026–2028</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R&amp;D Investors</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Redirect pipeline from saturated CVD/Diabetes toward Inflammation, Immunology</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Ongoing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Industry (Pharma)</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India-specific Phase III trials for biologics in Immunology/Inflammation</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2027+</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11. Global Benchmark Comparison (India vs. High-SDI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900"/>
        <w:gridCol w:w="3160"/>
      </w:tblGrid>
      <w:tr>
        <w:trPr>
          <w:tblHeader/>
        </w:trPr>
        <w:tc>
          <w:tcPr>
            <w:tcW w:type="dxa" w:w="1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1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India Gap</w:t>
            </w:r>
          </w:p>
        </w:tc>
        <w:tc>
          <w:tcPr>
            <w:tcW w:type="dxa" w:w="14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High-SDI Avg</w:t>
            </w:r>
          </w:p>
        </w:tc>
        <w:tc>
          <w:tcPr>
            <w:tcW w:type="dxa" w:w="19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Difference</w:t>
            </w:r>
          </w:p>
        </w:tc>
        <w:tc>
          <w:tcPr>
            <w:tcW w:type="dxa" w:w="31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Implication</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 (India worse)</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Structural commercial failure in India</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 (India worse)</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Biologic access barriers specific to India</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+4</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+1</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+3 (India worse)</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R&amp;D decline + India policy gap</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-8</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-3</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-5 (India more over-served)</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Generic industry over-supply</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Obesity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-2</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1B5E20"/>
                <w:sz w:val="20"/>
                <w:szCs w:val="20"/>
              </w:rPr>
              <w:t xml:space="preserve">-3 (India more over-served)</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GLP-1 pipeline hitting India harder</w:t>
            </w:r>
          </w:p>
        </w:tc>
      </w:tr>
      <w:tr>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Oncology</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9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B71C1C"/>
                <w:sz w:val="20"/>
                <w:szCs w:val="20"/>
              </w:rPr>
              <w:t xml:space="preserve">+2 (India worse)</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Me-too biologics don’t address innovation gap</w:t>
            </w:r>
          </w:p>
        </w:tc>
      </w:tr>
    </w:tbl>
    <w:p>
      <w:pPr>
        <w:spacing w:after="80" w:before="80"/>
      </w:pPr>
      <w:r>
        <w:t xml:space="preserve"/>
      </w:r>
    </w:p>
    <w:p>
      <w:pPr>
        <w:spacing w:after="80" w:before="80"/>
      </w:pPr>
      <w:r>
        <w:rPr>
          <w:rFonts w:ascii="Arial" w:cs="Arial" w:eastAsia="Arial" w:hAnsi="Arial"/>
          <w:b/>
          <w:bCs/>
          <w:sz w:val="22"/>
          <w:szCs w:val="22"/>
        </w:rPr>
        <w:t xml:space="preserve">Key Insight: </w:t>
      </w:r>
      <w:r>
        <w:rPr>
          <w:rFonts w:ascii="Arial" w:cs="Arial" w:eastAsia="Arial" w:hAnsi="Arial"/>
          <w:b w:val="false"/>
          <w:bCs w:val="false"/>
          <w:sz w:val="22"/>
          <w:szCs w:val="22"/>
        </w:rPr>
        <w:t xml:space="preserve">India’s under-served gaps are 2–4x wider than High-SDI averages, pointing to structural access barriers and policy failures rather than global R&amp;D shortfalls. The over-serving gaps are also wider — India’s generic industry amplifies commercial distortions.</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12. Age / Gender Breakdown (GBD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Therapeutic Area</w:t>
            </w:r>
          </w:p>
        </w:tc>
        <w:tc>
          <w:tcPr>
            <w:tcW w:type="dxa" w:w="1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Peak Age Group</w:t>
            </w:r>
          </w:p>
        </w:tc>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Gender Distribution</w:t>
            </w:r>
          </w:p>
        </w:tc>
        <w:tc>
          <w:tcPr>
            <w:tcW w:type="dxa" w:w="31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Source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50–74</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 predominant (60:40)</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Obesity</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45–65</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Broadly equal</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IDF Atlas 2021</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Cancer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50–69</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 predominant (tobacco-related)</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15–49</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 predominant</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Immunology (autoimmune)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25–55</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Female predominant (rheumatoid, lupus)</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30–50</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 predominant (slight)</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WHO 2026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Neurological</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Broadly equal</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w:t>
            </w:r>
          </w:p>
        </w:tc>
      </w:tr>
    </w:tbl>
    <w:p>
      <w:pPr>
        <w:spacing w:after="80" w:before="80"/>
      </w:pPr>
      <w:r>
        <w:t xml:space="preserve"/>
      </w:r>
    </w:p>
    <w:p>
      <w:pPr>
        <w:spacing w:after="80" w:before="80"/>
      </w:pPr>
      <w:r>
        <w:rPr>
          <w:rFonts w:ascii="Arial" w:cs="Arial" w:eastAsia="Arial" w:hAnsi="Arial"/>
          <w:sz w:val="22"/>
          <w:szCs w:val="22"/>
        </w:rPr>
        <w:t xml:space="preserve">These patterns matter for drug design and regulatory labelling. CDSCO approvals for immunological drugs — predominantly affecting working-age women — remain critically low, representing both a health equity and productivity impact.</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13. Limitations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Limitation</w:t>
            </w:r>
          </w:p>
        </w:tc>
        <w:tc>
          <w:tcPr>
            <w:tcW w:type="dxa" w:w="28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Impact on Conclusions</w:t>
            </w:r>
          </w:p>
        </w:tc>
        <w:tc>
          <w:tcPr>
            <w:tcW w:type="dxa" w:w="43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Mitigation Applied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CDSCO data covers 2025 only</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Single-year snapshot; may not reflect long-term patterns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 coverage via news mining + CDSCO Annual Reports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Burden ranks are ordinal, not cardinal</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Equal rank gaps may represent very different DALY gaps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Sensitivity analysis (±1 shift) confirms robustness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Hepatitis had zero 2025 approvals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Falls outside ranked analysis; understates its gap</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Explicitly flagged in Executive Summary; policy frame applied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Some drugs treat multiple areas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Double-counting risk in approval totals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Conservative area assignment; flagged as limitation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High-SDI benchmark is proportional estimate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directly measured; approximated from FDA/EMA reports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Ranges used (e.g., 3–5) rather than point estimates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 data — not 2025</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Burden estimates may have shifted post-COVID</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2019 is most granular India dataset available; 2026 extrapolated</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14. References</w:t>
      </w:r>
    </w:p>
    <w:p>
      <w:pPr>
        <w:pStyle w:val="ListParagraph"/>
        <w:numPr>
          <w:ilvl w:val="0"/>
          <w:numId w:val="2"/>
        </w:numPr>
        <w:spacing w:after="60" w:before="60"/>
      </w:pPr>
      <w:r>
        <w:rPr>
          <w:rFonts w:ascii="Arial" w:cs="Arial" w:eastAsia="Arial" w:hAnsi="Arial"/>
          <w:sz w:val="22"/>
          <w:szCs w:val="22"/>
        </w:rPr>
        <w:t xml:space="preserve">GBD 2019 Diseases and Injuries Collaborators. (2020). Global burden of 369 diseases and injuries in 204 countries and territories, 1990–2019. The Lancet, 396(10258), 1204–1222. https://doi.org/10.1016/S0140-6736(20)30925-9</w:t>
      </w:r>
    </w:p>
    <w:p>
      <w:pPr>
        <w:pStyle w:val="ListParagraph"/>
        <w:numPr>
          <w:ilvl w:val="0"/>
          <w:numId w:val="2"/>
        </w:numPr>
        <w:spacing w:after="60" w:before="60"/>
      </w:pPr>
      <w:r>
        <w:rPr>
          <w:rFonts w:ascii="Arial" w:cs="Arial" w:eastAsia="Arial" w:hAnsi="Arial"/>
          <w:sz w:val="22"/>
          <w:szCs w:val="22"/>
        </w:rPr>
        <w:t xml:space="preserve">India State-Level Disease Burden Initiative. (2019). The burden of diseases of varying epidemiological transition stages in the states of India. The Lancet Global Health (ICMR-PHFI collaborative).</w:t>
      </w:r>
    </w:p>
    <w:p>
      <w:pPr>
        <w:pStyle w:val="ListParagraph"/>
        <w:numPr>
          <w:ilvl w:val="0"/>
          <w:numId w:val="2"/>
        </w:numPr>
        <w:spacing w:after="60" w:before="60"/>
      </w:pPr>
      <w:r>
        <w:rPr>
          <w:rFonts w:ascii="Arial" w:cs="Arial" w:eastAsia="Arial" w:hAnsi="Arial"/>
          <w:sz w:val="22"/>
          <w:szCs w:val="22"/>
        </w:rPr>
        <w:t xml:space="preserve">Tordrup, D., et al. (2020). Gaps in availability of essential medicines for non-communicable diseases in low- and middle-income countries. Value in Health, 23(12), 1552–1560.</w:t>
      </w:r>
    </w:p>
    <w:p>
      <w:pPr>
        <w:pStyle w:val="ListParagraph"/>
        <w:numPr>
          <w:ilvl w:val="0"/>
          <w:numId w:val="2"/>
        </w:numPr>
        <w:spacing w:after="60" w:before="60"/>
      </w:pPr>
      <w:r>
        <w:rPr>
          <w:rFonts w:ascii="Arial" w:cs="Arial" w:eastAsia="Arial" w:hAnsi="Arial"/>
          <w:sz w:val="22"/>
          <w:szCs w:val="22"/>
        </w:rPr>
        <w:t xml:space="preserve">International Diabetes Federation. (2021). IDF Diabetes Atlas, 10th edition. Brussels: IDF. https://diabetesatlas.org</w:t>
      </w:r>
    </w:p>
    <w:p>
      <w:pPr>
        <w:pStyle w:val="ListParagraph"/>
        <w:numPr>
          <w:ilvl w:val="0"/>
          <w:numId w:val="2"/>
        </w:numPr>
        <w:spacing w:after="60" w:before="60"/>
      </w:pPr>
      <w:r>
        <w:rPr>
          <w:rFonts w:ascii="Arial" w:cs="Arial" w:eastAsia="Arial" w:hAnsi="Arial"/>
          <w:sz w:val="22"/>
          <w:szCs w:val="22"/>
        </w:rPr>
        <w:t xml:space="preserve">WHO. (2026). Global Hepatitis Report 2026. Geneva: World Health Organization.</w:t>
      </w:r>
    </w:p>
    <w:p>
      <w:pPr>
        <w:pStyle w:val="ListParagraph"/>
        <w:numPr>
          <w:ilvl w:val="0"/>
          <w:numId w:val="2"/>
        </w:numPr>
        <w:spacing w:after="60" w:before="60"/>
      </w:pPr>
      <w:r>
        <w:rPr>
          <w:rFonts w:ascii="Arial" w:cs="Arial" w:eastAsia="Arial" w:hAnsi="Arial"/>
          <w:sz w:val="22"/>
          <w:szCs w:val="22"/>
        </w:rPr>
        <w:t xml:space="preserve">Central Drugs Standard Control Organisation (CDSCO). (2025). New Drug Approvals — Online Document Repository. Ministry of Health &amp; Family Welfare, Government of India.</w:t>
      </w:r>
    </w:p>
    <w:p>
      <w:pPr>
        <w:pStyle w:val="ListParagraph"/>
        <w:numPr>
          <w:ilvl w:val="0"/>
          <w:numId w:val="2"/>
        </w:numPr>
        <w:spacing w:after="60" w:before="60"/>
      </w:pPr>
      <w:r>
        <w:rPr>
          <w:rFonts w:ascii="Arial" w:cs="Arial" w:eastAsia="Arial" w:hAnsi="Arial"/>
          <w:sz w:val="22"/>
          <w:szCs w:val="22"/>
        </w:rPr>
        <w:t xml:space="preserve">GBD Interactive Visualisation: vizhub.healthdata.org/gbd-results/ (India, All Ages, 2019, accessed May 2026)</w:t>
      </w:r>
    </w:p>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15. Code &amp; Portfolio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2760"/>
      </w:tblGrid>
      <w:tr>
        <w:trPr>
          <w:tblHeader/>
        </w:trPr>
        <w:tc>
          <w:tcPr>
            <w:tcW w:type="dxa" w:w="3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Deliverable</w:t>
            </w:r>
          </w:p>
        </w:tc>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Tool</w:t>
            </w:r>
          </w:p>
        </w:tc>
        <w:tc>
          <w:tcPr>
            <w:tcW w:type="dxa" w:w="14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Status</w:t>
            </w:r>
          </w:p>
        </w:tc>
        <w:tc>
          <w:tcPr>
            <w:tcW w:type="dxa" w:w="27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Location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Jupyter Notebook (data cleaning + gap calc + charts)</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Python / pandas / matplotlib</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GitHub: vatsalchawla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SQL Gap Query (gap_analysis.sql)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DuckDB / CTEs / RANK()</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gist.github.com/chawlavatsal03-lab</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Power BI Dashboard (16 areas, interactive)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Power BI Desktop</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[publish link TBA]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GBD Burden Data (Excel)</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Excel / WHO GBD 2019</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GitHub: vatsalchawla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Gap Analysis CSV output</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Python / pandas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GitHub: vatsalchawla</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This report (DOCX + PDF)</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docx-js / LibreOffice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Complete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200" w:before="200"/>
      </w:pPr>
      <w:r>
        <w:t xml:space="preserve"/>
      </w:r>
    </w:p>
    <w:p>
      <w:pPr>
        <w:pStyle w:val="Heading1"/>
        <w:pBdr>
          <w:bottom w:val="single" w:color="1F6B2E" w:sz="8" w:space="4"/>
        </w:pBdr>
        <w:spacing w:after="140" w:before="420"/>
      </w:pPr>
      <w:r>
        <w:rPr>
          <w:rFonts w:ascii="Arial" w:cs="Arial" w:eastAsia="Arial" w:hAnsi="Arial"/>
          <w:b/>
          <w:bCs/>
          <w:color w:val="1F6B2E"/>
          <w:sz w:val="32"/>
          <w:szCs w:val="32"/>
        </w:rPr>
        <w:t xml:space="preserve">Appendix – Data Mining Strategy</w:t>
      </w:r>
    </w:p>
    <w:p>
      <w:pPr>
        <w:spacing w:after="80" w:before="80"/>
      </w:pPr>
      <w:r>
        <w:rPr>
          <w:rFonts w:ascii="Arial" w:cs="Arial" w:eastAsia="Arial" w:hAnsi="Arial"/>
          <w:sz w:val="22"/>
          <w:szCs w:val="22"/>
        </w:rPr>
        <w:t xml:space="preserve">Keywords used to supplement datasets via PubMed / Google Scholar: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Thematic Focus</w:t>
            </w:r>
          </w:p>
        </w:tc>
        <w:tc>
          <w:tcPr>
            <w:tcW w:type="dxa" w:w="500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Search Keywords</w:t>
            </w:r>
          </w:p>
        </w:tc>
        <w:tc>
          <w:tcPr>
            <w:tcW w:type="dxa" w:w="2160"/>
            <w:tcBorders>
              <w:top w:val="single" w:color="B0BEC5" w:sz="1"/>
              <w:left w:val="single" w:color="B0BEC5" w:sz="1"/>
              <w:bottom w:val="single" w:color="B0BEC5" w:sz="1"/>
              <w:right w:val="single" w:color="B0BEC5" w:sz="1"/>
            </w:tcBorders>
            <w:shd w:fill="D5E8D4" w:val="clear"/>
            <w:tcMar>
              <w:top w:type="dxa" w:w="80"/>
              <w:left w:type="dxa" w:w="120"/>
              <w:bottom w:type="dxa" w:w="80"/>
              <w:right w:type="dxa" w:w="120"/>
            </w:tcMar>
            <w:vAlign w:val="center"/>
          </w:tcPr>
          <w:p>
            <w:pPr>
              <w:jc w:val="center"/>
            </w:pPr>
            <w:r>
              <w:rPr>
                <w:rFonts w:ascii="Arial" w:cs="Arial" w:eastAsia="Arial" w:hAnsi="Arial"/>
                <w:b/>
                <w:bCs/>
                <w:color w:val="1A4731"/>
                <w:sz w:val="20"/>
                <w:szCs w:val="20"/>
              </w:rPr>
              <w:t xml:space="preserve">Time Range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Inflammation / Immunology</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("autoimmune" OR "inflammation") AND ("India" OR "LMIC") AND ("treatment gap")</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2015–2026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 (over-served)</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("cardiovascular" OR "hypertension") AND ("India" OR "prevalence" OR "DALYs")</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2015–2021</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 GLP-1 wave</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("diabetes" OR "GLP-1" OR "obesity") AND ("India" OR "burden") NOT "bariatric"</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2018–2026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 gap</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("infectious disease" OR "antimicrobial") AND ("India" OR "CDSCO" OR "approval")</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2015–2026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Methodology / benchmarking</w:t>
            </w:r>
          </w:p>
        </w:tc>
        <w:tc>
          <w:tcPr>
            <w:tcW w:type="dxa" w:w="5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("drug approval gap" OR "access to medicines") AND ("India" OR "LMIC" OR "GBD")</w:t>
            </w:r>
          </w:p>
        </w:tc>
        <w:tc>
          <w:tcPr>
            <w:tcW w:type="dxa" w:w="216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2015–2026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2E" w:sz="12"/>
              <w:left w:val="single" w:color="1F6B2E" w:sz="12"/>
              <w:bottom w:val="single" w:color="1F6B2E" w:sz="12"/>
              <w:right w:val="single" w:color="1F6B2E" w:sz="12"/>
            </w:tcBorders>
            <w:shd w:fill="E8F5E9" w:val="clear"/>
            <w:tcMar>
              <w:top w:type="dxa" w:w="120"/>
              <w:left w:type="dxa" w:w="240"/>
              <w:bottom w:type="dxa" w:w="120"/>
              <w:right w:type="dxa" w:w="240"/>
            </w:tcMar>
          </w:tcPr>
          <w:p>
            <w:pPr>
              <w:spacing w:after="40" w:before="40"/>
            </w:pPr>
            <w:r>
              <w:rPr>
                <w:rFonts w:ascii="Arial" w:cs="Arial" w:eastAsia="Arial" w:hAnsi="Arial"/>
                <w:b/>
                <w:bCs/>
                <w:i w:val="false"/>
                <w:iCs w:val="false"/>
                <w:color w:val="000000"/>
                <w:sz w:val="22"/>
                <w:szCs w:val="22"/>
              </w:rPr>
              <w:t xml:space="preserve">🎯  Literature Review Framing Statement</w:t>
            </w:r>
          </w:p>
          <w:p>
            <w:pPr>
              <w:spacing w:after="40" w:before="40"/>
            </w:pPr>
            <w:r>
              <w:rPr>
                <w:rFonts w:ascii="Arial" w:cs="Arial" w:eastAsia="Arial" w:hAnsi="Arial"/>
                <w:b w:val="false"/>
                <w:bCs w:val="false"/>
                <w:i/>
                <w:iCs/>
                <w:color w:val="000000"/>
                <w:sz w:val="22"/>
                <w:szCs w:val="22"/>
              </w:rPr>
              <w:t xml:space="preserve">"A rank-based gap analysis of 2025 CDSCO approvals, grounded in WHO GBD 2019 burden data, reveals a +1.31 average system-wide gap. Inflammation and Immunology (+6 each) represent the most under-served areas — a structural market failure driven by commercial incentives. The GLP-1 pipeline explains Cardiovascular/Diabetes over-serving. Hepatitis remains a policy and access failure, not an R&amp;D failure."</w:t>
            </w:r>
          </w:p>
        </w:tc>
      </w:tr>
    </w:tbl>
    <w:p>
      <w:pPr>
        <w:spacing w:after="80" w:before="80"/>
      </w:pPr>
      <w:r>
        <w:t xml:space="preserve"/>
      </w:r>
    </w:p>
    <w:p>
      <w:pPr>
        <w:pBdr>
          <w:top w:val="single" w:color="CCCCCC" w:sz="4" w:space="8"/>
        </w:pBdr>
        <w:spacing w:before="300"/>
        <w:jc w:val="center"/>
      </w:pPr>
      <w:r>
        <w:rPr>
          <w:rFonts w:ascii="Arial" w:cs="Arial" w:eastAsia="Arial" w:hAnsi="Arial"/>
          <w:color w:val="777777"/>
          <w:sz w:val="18"/>
          <w:szCs w:val="18"/>
        </w:rPr>
        <w:t xml:space="preserve">India Drug Approval Gap Analysis  •  Vatsal Chawla  •  chawlavatsal03@gmail.com  •  github.com/vatsalchawla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F6B2E"/>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0c2de229babd05471ededa7ba21e9f1da33c8b.png"/><Relationship Id="rId8" Type="http://schemas.openxmlformats.org/officeDocument/2006/relationships/image" Target="media/621bc43f2b758ae7804a58db19156b3c467a2ee8.png"/><Relationship Id="rId9" Type="http://schemas.openxmlformats.org/officeDocument/2006/relationships/image" Target="media/04defe0b312b31f9c78917877cdad3d6b81ced14.png"/><Relationship Id="rId10" Type="http://schemas.openxmlformats.org/officeDocument/2006/relationships/image" Target="media/268848935debb0ae65e1c610e26fc27011316e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2026-05-26T10:37:43.272Z</dcterms:created>
  <dcterms:modified xsi:type="dcterms:W3CDTF">2026-05-26T10:37:43.284Z</dcterms:modified>
</cp:coreProperties>
</file>

<file path=docProps/custom.xml><?xml version="1.0" encoding="utf-8"?>
<Properties xmlns="http://schemas.openxmlformats.org/officeDocument/2006/custom-properties" xmlns:vt="http://schemas.openxmlformats.org/officeDocument/2006/docPropsVTypes"/>
</file>