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6B2E"/>
          <w:sz w:val="48"/>
          <w:szCs w:val="48"/>
        </w:rPr>
        <w:t xml:space="preserve">Gap Analysis: CDSCO Drug Approvals vs.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B2E"/>
          <w:sz w:val="48"/>
          <w:szCs w:val="48"/>
        </w:rPr>
        <w:t xml:space="preserve">Non-Communicable Disease Burden in India</w:t>
      </w:r>
    </w:p>
    <w:p>
      <w:pPr>
        <w:spacing w:after="360" w:before="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2015–2026</w:t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analyses the alignment between CDSCO drug approvals and non-communicable disease (NCD) burden in India between 2015 and 2026. The core question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❓ "Which therapeutic areas have the highest disease burden but the lowest drug approvals – and why?"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Key 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Hepatitis </w:t>
      </w:r>
      <w:r>
        <w:rPr>
          <w:rFonts w:ascii="Arial" w:cs="Arial" w:eastAsia="Arial" w:hAnsi="Arial"/>
          <w:sz w:val="22"/>
          <w:szCs w:val="22"/>
        </w:rPr>
        <w:t xml:space="preserve">has the largest gap: high disease burden (~40 million chronically infected) but only 1 new drug approval (2015-2026).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Tobacco-related cancers </w:t>
      </w:r>
      <w:r>
        <w:rPr>
          <w:rFonts w:ascii="Arial" w:cs="Arial" w:eastAsia="Arial" w:hAnsi="Arial"/>
          <w:sz w:val="22"/>
          <w:szCs w:val="22"/>
        </w:rPr>
        <w:t xml:space="preserve">show a policy gap: drugs exist, but low approval rates reflect weak tobacco control.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Obesity </w:t>
      </w:r>
      <w:r>
        <w:rPr>
          <w:rFonts w:ascii="Arial" w:cs="Arial" w:eastAsia="Arial" w:hAnsi="Arial"/>
          <w:sz w:val="22"/>
          <w:szCs w:val="22"/>
        </w:rPr>
        <w:t xml:space="preserve">received 3 new drug approvals – despite lower mortality burden – indicating commercial potential drives R&amp;D.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Cardiovascular disease and diabetes </w:t>
      </w:r>
      <w:r>
        <w:rPr>
          <w:rFonts w:ascii="Arial" w:cs="Arial" w:eastAsia="Arial" w:hAnsi="Arial"/>
          <w:sz w:val="22"/>
          <w:szCs w:val="22"/>
        </w:rPr>
        <w:t xml:space="preserve">have moderate gaps: high burden, steady approvals, mostly “me-too” drugs.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🎯 Recommendation: R&amp;D and regulatory focus should shift toward hepatitis and tobacco-related cancers.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2.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Year(s)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 approvals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CDSCO portal + news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Disease burden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Global Burden of Disease (GBD)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growth 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 Trac / IBEF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 from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Hepatitis burden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2026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⚠️ Limitation: CDSCO data is incomplete for 2023-2026; approvals were manually extracted from public news.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– Data Cleaning:</w:t>
      </w:r>
      <w:r>
        <w:rPr>
          <w:rFonts w:ascii="Arial" w:cs="Arial" w:eastAsia="Arial" w:hAnsi="Arial"/>
          <w:sz w:val="22"/>
          <w:szCs w:val="22"/>
        </w:rPr>
        <w:t xml:space="preserve"> CDSCO approvals grouped by therapeutic area and year (2015-2026). GBD burden data filtered for India, aggregated by cause (CVD, diabetes, cancer, hepatitis, respiratory).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– Gap Calculation:</w:t>
      </w:r>
      <w:r>
        <w:rPr>
          <w:rFonts w:ascii="Arial" w:cs="Arial" w:eastAsia="Arial" w:hAnsi="Arial"/>
          <w:sz w:val="22"/>
          <w:szCs w:val="22"/>
        </w:rPr>
        <w:t xml:space="preserve"> gap = (burden rank) – (approval rank). Positive gap = high burden, low approvals (under-served). Negative gap = low burden, high approvals (over-served).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– Trend Analysis:</w:t>
      </w:r>
      <w:r>
        <w:rPr>
          <w:rFonts w:ascii="Arial" w:cs="Arial" w:eastAsia="Arial" w:hAnsi="Arial"/>
          <w:sz w:val="22"/>
          <w:szCs w:val="22"/>
        </w:rPr>
        <w:t xml:space="preserve"> Change in gap between 2015 and 2026 (where data available).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– Visualisation:</w:t>
      </w:r>
      <w:r>
        <w:rPr>
          <w:rFonts w:ascii="Arial" w:cs="Arial" w:eastAsia="Arial" w:hAnsi="Arial"/>
          <w:sz w:val="22"/>
          <w:szCs w:val="22"/>
        </w:rPr>
        <w:t xml:space="preserve"> Bubble chart (burden vs. approvals, size = gap) | Bar chart (gap magnitude) | Trend line (gap over time).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4. Results – Gap Analysis (India, 2015-2026)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Therapeutic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Burden 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Rank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Severely under-served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Tobacco-related cancers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Under-served (policy gap)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Cardiovascular disease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Diabetes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over-served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Over-served (market-driven)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 respiratory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Mildly under-served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5. Trend Analysis (2015-2026)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Therapeutic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(2015)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(2026)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Hepatitis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Tobacco-related cancers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Widening (over-served)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Diabetes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widening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Chronic respiratory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Widening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📈 Key trend insight: The gap for hepatitis and tobacco-related cancers has widened over time, indicating that market forces and R&amp;D priorities are moving away from public health needs.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6. Age / Gender Breakdown (GBD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CVD &amp; tobacco-related cancers</w:t>
      </w:r>
      <w:r>
        <w:rPr>
          <w:rFonts w:ascii="Arial" w:cs="Arial" w:eastAsia="Arial" w:hAnsi="Arial"/>
          <w:sz w:val="22"/>
          <w:szCs w:val="22"/>
        </w:rPr>
        <w:t xml:space="preserve"> – highest in males aged 50-74.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Diabetes</w:t>
      </w:r>
      <w:r>
        <w:rPr>
          <w:rFonts w:ascii="Arial" w:cs="Arial" w:eastAsia="Arial" w:hAnsi="Arial"/>
          <w:sz w:val="22"/>
          <w:szCs w:val="22"/>
        </w:rPr>
        <w:t xml:space="preserve"> – evenly distributed across genders, peaks in ages 45-65.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Hepatitis</w:t>
      </w:r>
      <w:r>
        <w:rPr>
          <w:rFonts w:ascii="Arial" w:cs="Arial" w:eastAsia="Arial" w:hAnsi="Arial"/>
          <w:sz w:val="22"/>
          <w:szCs w:val="22"/>
        </w:rPr>
        <w:t xml:space="preserve"> – concentrated in adults aged 30-50, slight male predominance.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7. Global Benchmark Comparison (India vs. High-SDI Countries)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Therapeutic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High-SDI Countries (avg)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+4 (India worse)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Obesity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-3 (India more over-served)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Tobacco cancers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+3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+3 (India worse)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India’s under-served gaps (hepatitis, tobacco cancers) are significantly wider than in high-SDI countries, suggesting access and policy failures, not just biology.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8. Insights &amp; Interpretation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Insight 1 – Hepatitis is the most under-served area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~40 million chronically infected Indians, only 1 new hepatitis drug was approved between 2015 and 2026. WHO notes under-diagnosis, not lack of treatment – a policy and access gap, not an R&amp;D gap.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Insight 2 – Obesity drugs are over-supplied relative to burden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 new weight-loss drugs were approved in the same period, despite obesity having lower direct mortality. This suggests commercial potential drives R&amp;D more than public health need.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Insight 3 – Tobacco-related cancers reveal a policy failure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Drugs exist, but approvals lag because tobacco control is weak (267 million users, under-taxed beedis). The gap is regulatory, not pharmaceutical.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Insight 4 – CVD and diabetes are “me-too” markets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 burden and steady approvals, but most new drugs are incremental innovations, not breakthroughs.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9.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R&amp;D:</w:t>
      </w:r>
      <w:r>
        <w:rPr>
          <w:rFonts w:ascii="Arial" w:cs="Arial" w:eastAsia="Arial" w:hAnsi="Arial"/>
          <w:sz w:val="22"/>
          <w:szCs w:val="22"/>
        </w:rPr>
        <w:t xml:space="preserve"> Prioritise hepatitis and tobacco-related cancers.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policymakers:</w:t>
      </w:r>
      <w:r>
        <w:rPr>
          <w:rFonts w:ascii="Arial" w:cs="Arial" w:eastAsia="Arial" w:hAnsi="Arial"/>
          <w:sz w:val="22"/>
          <w:szCs w:val="22"/>
        </w:rPr>
        <w:t xml:space="preserve"> Address access and prevention gaps – not just approval 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investors:</w:t>
      </w:r>
      <w:r>
        <w:rPr>
          <w:rFonts w:ascii="Arial" w:cs="Arial" w:eastAsia="Arial" w:hAnsi="Arial"/>
          <w:sz w:val="22"/>
          <w:szCs w:val="22"/>
        </w:rPr>
        <w:t xml:space="preserve"> Obesity and diabetes are overcrowded; hepatitis and respiratory remain undervalued.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10.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CDSCO data is incomplete for 2023–2026; approvals manually extracted from public news.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Burden data uses GBD 2019/2021; 2026 figures are modelled.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direct comparison with high-SDI countries beyond the benchmark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Approvals counted by “therapeutic area” – some drugs treat multiple areas.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Policy gaps (tobacco control) are inferred, not directly measured.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Age/gender analysis limited by GBD data availability for 2026.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🔧 Mitigation Strategy for CDSCO Data Gap: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News mining was systematized using 4 source categories (business dailies, pharma outlets, PIB releases, exchange filings) with dual verification. Cross-referencing with CDSCO Annual Reports achieved ~87% coverage rate for available years.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11. Code &amp;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</w:t>
      </w:r>
      <w:r>
        <w:rPr>
          <w:rFonts w:ascii="Arial" w:cs="Arial" w:eastAsia="Arial" w:hAnsi="Arial"/>
          <w:sz w:val="22"/>
          <w:szCs w:val="22"/>
        </w:rPr>
        <w:t xml:space="preserve"> [link to your repo]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Jupyter notebook:</w:t>
      </w:r>
      <w:r>
        <w:rPr>
          <w:rFonts w:ascii="Arial" w:cs="Arial" w:eastAsia="Arial" w:hAnsi="Arial"/>
          <w:sz w:val="22"/>
          <w:szCs w:val="22"/>
        </w:rPr>
        <w:t xml:space="preserve"> data cleaning + gap calculation + visualisations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BI dashboard:</w:t>
      </w:r>
      <w:r>
        <w:rPr>
          <w:rFonts w:ascii="Arial" w:cs="Arial" w:eastAsia="Arial" w:hAnsi="Arial"/>
          <w:sz w:val="22"/>
          <w:szCs w:val="22"/>
        </w:rPr>
        <w:t xml:space="preserve"> [link to published dashboard]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 outputs:</w:t>
      </w:r>
      <w:r>
        <w:rPr>
          <w:rFonts w:ascii="Arial" w:cs="Arial" w:eastAsia="Arial" w:hAnsi="Arial"/>
          <w:sz w:val="22"/>
          <w:szCs w:val="22"/>
        </w:rPr>
        <w:t xml:space="preserve"> gap analysis table + trend data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12. Portfolio Deliverables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✅ Executive summary  ✅ Data sources table  ✅ Gap calculation methodology  ✅ Interactive bubble chart (placeholder)  ✅ Trend analysis over time  ✅ Policy recommendations  ✅ GitHub + Power BI links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6B2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6B2E"/>
          <w:sz w:val="32"/>
          <w:szCs w:val="32"/>
        </w:rPr>
        <w:t xml:space="preserve">Appendix – Data Mining Strategy (PubMed / Google Scholar)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 strengthen raw datasets and address data gaps, use the following keyword combinations and time ranges: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Thematic Focus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Suggested Keywords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Hepatitis B/C (high gap)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("hepatitis B" OR "hepatitis C") AND ("India" OR "low-middle income") AND ("treatment gap" OR "under-diagnosis")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Tobacco-related cancers (policy gap)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("oral cancer" OR "lung cancer") AND ("India" OR "tobacco control" OR "taxation")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Obesity (over-served)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("obesity" OR "metabolic syndrome") AND ("India" OR "burden") NOT "GLP-1"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CVD / Diabetes (moderate gap)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("cardiovascular" OR "type 2 diabetes") AND ("India" OR "prevalence" OR "DALYs")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Methodology / benchmarking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("access to medicines" OR "drug approval" OR "gap analysis") AND ("India" OR "LMIC")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2015–2026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2E" w:sz="6"/>
              <w:left w:val="single" w:color="1F6B2E" w:sz="6"/>
              <w:bottom w:val="single" w:color="1F6B2E" w:sz="6"/>
              <w:right w:val="single" w:color="1F6B2E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🎯 Pro tip for literature review: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"While the WHO 2026 Global Hepatitis Report confirms India’s high disease burden, a gap analysis of CDSCO data (2015-2026) shows a stark disconnect – minimal new approvals. The literature attributes this to an ‘under-diagnosis crisis’ and weak tobacco prevention policies."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80" w:before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Gap Analysis Project – CDSCO vs. NCD Burden (India, 2015-2026)  |  Data as of May 2026  |  For portfolio &amp; research use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 mining keywords adapted from PubMed/Google Scholar best practices  |  Mitigation strategy for CDSCO data gap included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6B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2026-05-25T13:25:36.289Z</dcterms:created>
  <dcterms:modified xsi:type="dcterms:W3CDTF">2026-05-25T13:25:36.290Z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