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greenelab/covid19-review@1ed34c7</w:t>
        </w:r>
      </w:hyperlink>
      <w:r>
        <w:t xml:space="preserve"> </w:t>
      </w:r>
      <w:r>
        <w:t xml:space="preserve">on March 8,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(2021-11-18)</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1ed34c701ed923be8826aaee0c66d419802f7598"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1ed34c701ed923be8826aaee0c66d419802f7598/" TargetMode="External" /><Relationship Type="http://schemas.openxmlformats.org/officeDocument/2006/relationships/hyperlink" Id="rId22" Target="https://greenelab.github.io/covid19-review/v/1ed34c701ed923be8826aaee0c66d419802f7598/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1ed34c701ed923be8826aaee0c66d419802f7598"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1ed34c701ed923be8826aaee0c66d419802f7598/" TargetMode="External" /><Relationship Type="http://schemas.openxmlformats.org/officeDocument/2006/relationships/hyperlink" Id="rId22" Target="https://greenelab.github.io/covid19-review/v/1ed34c701ed923be8826aaee0c66d419802f7598/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2022-03-08T23:21:41Z</dcterms:created>
  <dcterms:modified xsi:type="dcterms:W3CDTF">2022-03-08T23:21:41Z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