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 gráficas del cuaderno</w:t>
      </w:r>
    </w:p>
    <w:p>
      <w:pPr>
        <w:pStyle w:val="Heading2"/>
      </w:pPr>
      <w:r>
        <w:t>Consulta 1: Homicidios por año y departamento</w:t>
      </w:r>
    </w:p>
    <w:p>
      <w:r>
        <w:rPr>
          <w:b/>
        </w:rPr>
        <w:t>Nombre de consulta</w:t>
      </w:r>
    </w:p>
    <w:p>
      <w:r>
        <w:t>Homicidios por año y departamento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35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Muestra la concentración territorial y temporal de homicidios. Permite identificar años y departamentos con mayor incidencia relativa.</w:t>
      </w:r>
    </w:p>
    <w:p/>
    <w:p>
      <w:pPr>
        <w:pStyle w:val="Heading2"/>
      </w:pPr>
      <w:r>
        <w:t>Consulta 2: Denuncias por violencia contra la mujer por departamento</w:t>
      </w:r>
    </w:p>
    <w:p>
      <w:r>
        <w:rPr>
          <w:b/>
        </w:rPr>
        <w:t>Nombre de consulta</w:t>
      </w:r>
    </w:p>
    <w:p>
      <w:r>
        <w:t>Denuncias por violencia contra la mujer por departamento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Permite comparar rápidamente qué departamentos acumulan más denuncias asociadas a violencia contra la mujer.</w:t>
      </w:r>
    </w:p>
    <w:p/>
    <w:p>
      <w:pPr>
        <w:pStyle w:val="Heading2"/>
      </w:pPr>
      <w:r>
        <w:t>Consulta 3: Top 5 tipos de hechos delictivos en los ultimos 5 anios</w:t>
      </w:r>
    </w:p>
    <w:p>
      <w:r>
        <w:rPr>
          <w:b/>
        </w:rPr>
        <w:t>Nombre de consulta</w:t>
      </w:r>
    </w:p>
    <w:p>
      <w:r>
        <w:t>Top 5 tipos de hechos delictivos en los ultimos 5 anios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2752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Resume las clasificaciones delictivas más frecuentes en el período reciente y ayuda a priorizar líneas de análisis.</w:t>
      </w:r>
    </w:p>
    <w:p/>
    <w:p>
      <w:pPr>
        <w:pStyle w:val="Heading2"/>
      </w:pPr>
      <w:r>
        <w:t>Consulta 4: Sentencias por anio y tipo de delito</w:t>
      </w:r>
    </w:p>
    <w:p>
      <w:r>
        <w:rPr>
          <w:b/>
        </w:rPr>
        <w:t>Nombre de consulta</w:t>
      </w:r>
    </w:p>
    <w:p>
      <w:r>
        <w:t>Sentencias por anio y tipo de delito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2752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Describe la evolución de sentencias por año y por delito principal, útil para evaluar comportamiento judicial en el tiempo.</w:t>
      </w:r>
    </w:p>
    <w:p/>
    <w:p>
      <w:pPr>
        <w:pStyle w:val="Heading2"/>
      </w:pPr>
      <w:r>
        <w:t>Consulta 5: Distribucion de edad de victimas de violencia intrafamiliar</w:t>
      </w:r>
    </w:p>
    <w:p>
      <w:r>
        <w:rPr>
          <w:b/>
        </w:rPr>
        <w:t>Nombre de consulta</w:t>
      </w:r>
    </w:p>
    <w:p>
      <w:r>
        <w:t>Distribucion de edad de victimas de violencia intrafamiliar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2752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Evidencia la distribución etaria de víctimas en violencia intrafamiliar e identifica los rangos con mayor frecuencia.</w:t>
      </w:r>
    </w:p>
    <w:p/>
    <w:p>
      <w:pPr>
        <w:pStyle w:val="Heading2"/>
      </w:pPr>
      <w:r>
        <w:t>Consulta 6: Embarazos adolescentes por departamento</w:t>
      </w:r>
    </w:p>
    <w:p>
      <w:r>
        <w:rPr>
          <w:b/>
        </w:rPr>
        <w:t>Nombre de consulta</w:t>
      </w:r>
    </w:p>
    <w:p>
      <w:r>
        <w:t>Embarazos adolescentes por departamento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Comparación territorial de embarazos adolescentes para detectar departamentos con mayor carga de casos.</w:t>
      </w:r>
    </w:p>
    <w:p/>
    <w:p>
      <w:pPr>
        <w:pStyle w:val="Heading2"/>
      </w:pPr>
      <w:r>
        <w:t>Consulta 7: Casos de violencia infantil relacionados con trabajo infantil por sector economico</w:t>
      </w:r>
    </w:p>
    <w:p>
      <w:r>
        <w:rPr>
          <w:b/>
        </w:rPr>
        <w:t>Nombre de consulta</w:t>
      </w:r>
    </w:p>
    <w:p>
      <w:r>
        <w:t>Casos de violencia infantil relacionados con trabajo infantil por sector economico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Relaciona violencia infantil con trabajo infantil por sector económico, útil para focalizar prevención interinstitucional.</w:t>
      </w:r>
    </w:p>
    <w:p/>
    <w:p>
      <w:pPr>
        <w:pStyle w:val="Heading2"/>
      </w:pPr>
      <w:r>
        <w:t>Consulta 8: Denuncias por discriminacion segun grupo etnico</w:t>
      </w:r>
    </w:p>
    <w:p>
      <w:r>
        <w:rPr>
          <w:b/>
        </w:rPr>
        <w:t>Nombre de consulta</w:t>
      </w:r>
    </w:p>
    <w:p>
      <w:r>
        <w:t>Denuncias por discriminacion segun grupo etnico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2752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Refleja la distribución de casos de discriminación por grupo étnico y apoya el análisis de desigualdad estructural.</w:t>
      </w:r>
    </w:p>
    <w:p/>
    <w:p>
      <w:pPr>
        <w:pStyle w:val="Heading2"/>
      </w:pPr>
      <w:r>
        <w:t>Consulta 9: Escolaridad vs tipo de falta judicial</w:t>
      </w:r>
    </w:p>
    <w:p>
      <w:r>
        <w:rPr>
          <w:b/>
        </w:rPr>
        <w:t>Nombre de consulta</w:t>
      </w:r>
    </w:p>
    <w:p>
      <w:r>
        <w:t>Escolaridad vs tipo de falta judicial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34919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Cruza nivel educativo y tipo de falta judicial para observar patrones de concurrencia entre variables sociales y judiciales.</w:t>
      </w:r>
    </w:p>
    <w:p/>
    <w:p>
      <w:pPr>
        <w:pStyle w:val="Heading2"/>
      </w:pPr>
      <w:r>
        <w:t>Consulta 10: Numero de necropsias por anio</w:t>
      </w:r>
    </w:p>
    <w:p>
      <w:r>
        <w:rPr>
          <w:b/>
        </w:rPr>
        <w:t>Nombre de consulta</w:t>
      </w:r>
    </w:p>
    <w:p>
      <w:r>
        <w:t>Numero de necropsias por anio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Serie temporal de necropsias que permite observar incrementos o reducciones en eventos investigados forenses.</w:t>
      </w:r>
    </w:p>
    <w:p/>
    <w:p>
      <w:pPr>
        <w:pStyle w:val="Heading2"/>
      </w:pPr>
      <w:r>
        <w:t>Consulta 11: Violencia estructural procesada vs no procesada</w:t>
      </w:r>
    </w:p>
    <w:p>
      <w:r>
        <w:rPr>
          <w:b/>
        </w:rPr>
        <w:t>Nombre de consulta</w:t>
      </w:r>
    </w:p>
    <w:p>
      <w:r>
        <w:t>Violencia estructural procesada vs no procesada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5748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Comparación entre casos procesados y no procesados de violencia estructural para medir avance institucional.</w:t>
      </w:r>
    </w:p>
    <w:p/>
    <w:p>
      <w:pPr>
        <w:pStyle w:val="Heading2"/>
      </w:pPr>
      <w:r>
        <w:t>Consulta 12: Idiomas hablados por victimas de discriminacion</w:t>
      </w:r>
    </w:p>
    <w:p>
      <w:r>
        <w:rPr>
          <w:b/>
        </w:rPr>
        <w:t>Nombre de consulta</w:t>
      </w:r>
    </w:p>
    <w:p>
      <w:r>
        <w:t>Idiomas hablados por victimas de discriminacion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27522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Muestra los idiomas más reportados por víctimas de discriminación y aporta contexto sociocultural al análisis.</w:t>
      </w:r>
    </w:p>
    <w:p/>
    <w:p>
      <w:pPr>
        <w:pStyle w:val="Heading2"/>
      </w:pPr>
      <w:r>
        <w:t>Consulta 13: Personas por hogar en casos VIF</w:t>
      </w:r>
    </w:p>
    <w:p>
      <w:r>
        <w:rPr>
          <w:b/>
        </w:rPr>
        <w:t>Nombre de consulta</w:t>
      </w:r>
    </w:p>
    <w:p>
      <w:r>
        <w:t>Personas por hogar en casos VIF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Describe el tamaño de hogar en casos VIF y ayuda a contextualizar el entorno familiar de los registros.</w:t>
      </w:r>
    </w:p>
    <w:p/>
    <w:p>
      <w:pPr>
        <w:pStyle w:val="Heading2"/>
      </w:pPr>
      <w:r>
        <w:t>Consulta 14: Desnutricion aguda por departamento y anio</w:t>
      </w:r>
    </w:p>
    <w:p>
      <w:r>
        <w:rPr>
          <w:b/>
        </w:rPr>
        <w:t>Nombre de consulta</w:t>
      </w:r>
    </w:p>
    <w:p>
      <w:r>
        <w:t>Desnutricion aguda por departamento y anio</w:t>
      </w:r>
    </w:p>
    <w:p>
      <w:r>
        <w:rPr>
          <w:b/>
        </w:rPr>
        <w:t>Gráfica</w:t>
      </w:r>
    </w:p>
    <w:p>
      <w:r>
        <w:t>No se encontró salida gráfica en el cuaderno para esta consulta (la celda mostró texto o no tuvo datos).</w:t>
      </w:r>
    </w:p>
    <w:p>
      <w:r>
        <w:rPr>
          <w:b/>
        </w:rPr>
        <w:t>Descripción / interpretación</w:t>
      </w:r>
    </w:p>
    <w:p>
      <w:r>
        <w:t>Permite comparar tendencia de desnutrición aguda por año en departamentos con mayor volumen de casos.</w:t>
      </w:r>
    </w:p>
    <w:p/>
    <w:p>
      <w:pPr>
        <w:pStyle w:val="Heading2"/>
      </w:pPr>
      <w:r>
        <w:t>Consulta 15: Desnutricion y hechos delictivos por municipio</w:t>
      </w:r>
    </w:p>
    <w:p>
      <w:r>
        <w:rPr>
          <w:b/>
        </w:rPr>
        <w:t>Nombre de consulta</w:t>
      </w:r>
    </w:p>
    <w:p>
      <w:r>
        <w:t>Desnutricion y hechos delictivos por municipio</w:t>
      </w:r>
    </w:p>
    <w:p>
      <w:r>
        <w:rPr>
          <w:b/>
        </w:rPr>
        <w:t>Gráfica</w:t>
      </w:r>
    </w:p>
    <w:p>
      <w:r>
        <w:drawing>
          <wp:inline xmlns:a="http://schemas.openxmlformats.org/drawingml/2006/main" xmlns:pic="http://schemas.openxmlformats.org/drawingml/2006/picture">
            <wp:extent cx="5580000" cy="33117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/ interpretación</w:t>
      </w:r>
    </w:p>
    <w:p>
      <w:r>
        <w:t>Visualiza la relación entre desnutrición y hechos delictivos por municipio para explorar asociación territorial entre salud y violencia.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