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CHAYAN NARANG</w:t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Senior Product Manager  ·  Digital Transformation &amp; Cloud Migration  ·  Enterprise B2B SaaS</w:t>
      </w:r>
    </w:p>
    <w:p>
      <w:pPr>
        <w:spacing w:after="30" w:before="0"/>
        <w:jc w:val="center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BFSI  ·  Automotive  ·  Enterprise SaaS   |   ~9 Years   |   MBA (Information Management), SPJIMR  ·  CSPO  ·  Microsoft Azure AZ-900</w:t>
      </w:r>
    </w:p>
    <w:p>
      <w:pPr>
        <w:spacing w:after="20" w:before="0"/>
        <w:jc w:val="center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+91 9811162221   ·   pgpm2021.chayan@spjimr.org   ·   linkedin.com/in/chayan-narang</w:t>
      </w:r>
    </w:p>
    <w:p>
      <w:pPr>
        <w:pBdr>
          <w:bottom w:val="single" w:color="1F3864" w:sz="6" w:space="1"/>
        </w:pBdr>
        <w:spacing w:after="7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PROFESSIONAL SUMMARY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Senior Product Manager with ~9 years driving digital transformation, cloud-platform migration, and enterprise B2B SaaS delivery across BFSI and Automotive. Most recently led AEM Cloud modernization for global automotive clients — standardizing a 60+ tenant landing-zone and a mono-repo CI/CD governance model, and migrating legacy CMS estates with 60–70% less manual effort. Earlier in SaaS, protected $1.5M ARR through revenue-weighted prioritization, doubled reporting adoption (30%→60%), and cut reporting latency 80% via Snowflake consolidation; in regulated BFSI, recovered NPS 50–60% and contained a pre-production cash-integrity risk. Combines consulting-grade stakeholder alignment with hands-on product ownership across data, platform, and AI-assisted delivery.</w:t>
      </w:r>
    </w:p>
    <w:p>
      <w:pPr>
        <w:pBdr>
          <w:bottom w:val="single" w:color="1F3864" w:sz="6" w:space="1"/>
        </w:pBdr>
        <w:spacing w:after="7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KEY SKILLS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Transformation &amp; Cloud: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Digital Transformation · Cloud Migration · Platform Modernization · Adobe Experience Manager (AEM) · AEM Cloud · Landing Zone Definition · Mono-repo CI/CD · DevOps Governance · Multi-tenant Architecture · Content Migration · Enterprise CMS · DAM · Akamai · Observability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Product: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Product Management · Product Strategy · Roadmap · Revenue-Weighted Prioritization · PRD · User Stories · Acceptance Criteria · Agile · Scrum · CSPO · Go-to-Market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Data &amp; AI: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Snowflake · Qlik Sense · ETL · Data Pipelines · Analytics Modernization · Data Migration · Generative AI · LLMs · Prompt Engineering · Backlog AI · AI Product Evaluation · Azure AI Foundry · RAG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SaaS &amp; Commercial: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B2B SaaS · Enterprise SaaS · ARR Retention · Churn Reduction · NPS Improvement · Pre-Sales / RFP · RFI · RFQ · Stakeholder Management · Cross-functional Leadership · Technology Consulting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Domains &amp; Tools: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BFSI / Financial Services · Core Banking · Automotive · Jira · Confluence · API Integration · Microsoft Azure AZ-900</w:t>
      </w:r>
    </w:p>
    <w:p>
      <w:pPr>
        <w:pBdr>
          <w:bottom w:val="single" w:color="1F3864" w:sz="6" w:space="1"/>
        </w:pBdr>
        <w:spacing w:after="7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WORK EXPERIENCE</w:t>
      </w:r>
    </w:p>
    <w:p>
      <w:pPr>
        <w:spacing w:after="0" w:before="9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Senior Product Manager, Digital Transformation</w:t>
      </w: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   |   Publicis Sapient   |   2025–2026</w:t>
      </w:r>
    </w:p>
    <w:p>
      <w:pPr>
        <w:spacing w:after="40" w:before="1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AEM Cloud Platform Modernization — Global Automotive &amp; OEM Clients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Led platform modernization for a global automotive leader migrating 60+ tenant websites from fragmented on-prem/cloud hosting to Adobe AEM Cloud — defined target-state landing-zone architecture and a standardized mono-repo CI/CD governance model, achieving Dev/QA pipeline readiness against a fixed delivery deadline.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Aligned business-unit architects resisting centralized governance onto a controlled-autonomy operating model — preserving local pre-deployment validation while enforcing standardized release governance across 60+ tenants, reducing long-term platform-fragmentation risk.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Drove a legacy Sitecore-to-AEM migration for a leading automotive OEM — structured content modeling and an automation framework that programmatically migrated ~200 of 320 pages (60%+ coverage), cutting manual migration effort 60–70% and improving page-load performance 70–80%.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Applied AI-assisted backlog generation (Backlog AI / LLMs) to convert architectural decisions into execution-ready PRDs and user stories, contributing ~20% sprint-planning productivity gain within the firm’s GenAI adoption program.</w:t>
      </w:r>
    </w:p>
    <w:p>
      <w:pPr>
        <w:spacing w:after="0" w:before="9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Product Manager</w:t>
      </w: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   |   Upland Software (Second Street)   |   2022–2024</w:t>
      </w:r>
    </w:p>
    <w:p>
      <w:pPr>
        <w:spacing w:after="40" w:before="1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B2B SaaS — Marketing Automation &amp; Audience Engagement | $6M–$16M ARR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Protected a $1.5M ARR enterprise account at churn risk by introducing revenue-weighted prioritization across 50+ backlog items — contributing ~$300K in retained revenue across two quarters.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Led phased data consolidation onto Snowflake, redirecting performance-heavy reporting queries to cut campaign page-load times 80% (3–5s to &lt;1s) and directly de-risking churn conversations with enterprise customers.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Doubled reporting adoption (30%→60%) via standardized Qlik dashboards and in-product onboarding — reducing weekly custom-report requests ~60% and contributing ~$500K in new sales by strengthening platform reporting.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Shaped commercialization strategy for a GenAI quiz-generation feature — defining use-case boundaries, token-economics guardrails, and phased rollout — enabling enterprise sales positioning during peak AI demand without uncontrolled cost or governance exposure.</w:t>
      </w:r>
    </w:p>
    <w:p>
      <w:pPr>
        <w:spacing w:after="0" w:before="9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Product Manager</w:t>
      </w: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   |   Publicis Sapient   |   2022</w:t>
      </w:r>
    </w:p>
    <w:p>
      <w:pPr>
        <w:spacing w:after="40" w:before="1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Digital Transformation — BFSI / Banking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Supported BFSI pre-sales while on bench — contributing to RFP / RFI / RFQ responses by structuring client requirements into solution inputs.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Contributed to a banking reconciliation and platform-maintenance engagement and authored Confluence documentation for a Mambu-based core-banking (neobanking) initiative.</w:t>
      </w:r>
    </w:p>
    <w:p>
      <w:pPr>
        <w:spacing w:after="0" w:before="9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Product Owner</w:t>
      </w: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   |   Fidelity International   |   2020–2021</w:t>
      </w:r>
    </w:p>
    <w:p>
      <w:pPr>
        <w:spacing w:after="40" w:before="1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UK Personal Investing D2C Platform — Regulated BFSI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Contained a compliance-risk cash-integrity defect before production during a core investment-accounting (Sonata / Bravura) upgrade — traced a UI-vs-API aggregation mismatch to a contract-level gap and coordinated cross-vendor resolution before customer impact.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Recovered platform NPS 50–60% by triangulating Medallia voice-of-customer, Decibel behavioral analytics, and API-failure data into engineering-ready stabilization tickets — recognized by the Head of UK Personal Investing.</w:t>
      </w:r>
    </w:p>
    <w:p>
      <w:pPr>
        <w:spacing w:after="0" w:before="9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Product Manager</w:t>
      </w: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   |   Dice   |   2018–2019</w:t>
      </w:r>
    </w:p>
    <w:p>
      <w:pPr>
        <w:spacing w:after="40" w:before="1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B2B SaaS — Expense Management Platform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Launched B2B SaaS expense-management capabilities 0-to-1 — owning discovery-to-release and the go-to-market motion that contributed to acquisition of 10+ enterprise clients in a lean, resource-constrained environment.</w:t>
      </w:r>
    </w:p>
    <w:p>
      <w:pPr>
        <w:spacing w:after="0" w:before="9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Software Quality Assurance Analyst</w:t>
      </w: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   |   S&amp;P Global (IHS Markit)   |   2015–2017</w:t>
      </w:r>
    </w:p>
    <w:p>
      <w:pPr>
        <w:spacing w:after="40" w:before="1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Enterprise Financial Data Platforms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Expanded automation test coverage for large-scale financial data platforms (manual QA effort down 67%) and validated a like-for-like data-provider migration, reinforcing output integrity for downstream consumers.</w:t>
      </w:r>
    </w:p>
    <w:p>
      <w:pPr>
        <w:pBdr>
          <w:bottom w:val="single" w:color="1F3864" w:sz="6" w:space="1"/>
        </w:pBdr>
        <w:spacing w:after="7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EDUCATION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MBA (Information Management) — SPJIMR, Mumbai   |   2021–2022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MCA — BVICAM, Delhi   |   2012–2015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B.Sc. (H) Electronics — Keshav Mahavidyalaya, Delhi University   |   2009–2012</w:t>
      </w:r>
    </w:p>
    <w:p>
      <w:pPr>
        <w:pBdr>
          <w:bottom w:val="single" w:color="1F3864" w:sz="6" w:space="1"/>
        </w:pBdr>
        <w:spacing w:after="7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CERTIFICATIONS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CSPO (Scrum Alliance)   ·   Microsoft Azure Fundamentals (AZ-900)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2026-06-15T13:19:44.339Z</dcterms:created>
  <dcterms:modified xsi:type="dcterms:W3CDTF">2026-06-15T13:19:44.339Z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