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120"/>
        <w:jc w:val="center"/>
      </w:pPr>
      <w:r>
        <w:rPr>
          <w:rFonts w:ascii="Cambria" w:cs="Cambria" w:eastAsia="Cambria" w:hAnsi="Cambria"/>
          <w:b/>
          <w:bCs/>
          <w:color w:val="1F3A5C"/>
          <w:sz w:val="56"/>
          <w:szCs w:val="56"/>
        </w:rPr>
        <w:t xml:space="preserve">HOTEL REVENUE ANALYSIS</w:t>
      </w:r>
    </w:p>
    <w:p>
      <w:pPr>
        <w:spacing w:after="600"/>
        <w:jc w:val="center"/>
      </w:pPr>
      <w:r>
        <w:rPr>
          <w:rFonts w:ascii="Cambria" w:cs="Cambria" w:eastAsia="Cambria" w:hAnsi="Cambria"/>
          <w:color w:val="2E6199"/>
          <w:sz w:val="30"/>
          <w:szCs w:val="30"/>
        </w:rPr>
        <w:t xml:space="preserve">Project Report &amp; Stakeholder Briefing</w:t>
      </w:r>
    </w:p>
    <w:p>
      <w:pPr>
        <w:pBdr>
          <w:top w:val="single" w:color="C9D4DE" w:sz="4" w:space="14"/>
        </w:pBdr>
        <w:spacing w:after="60"/>
        <w:jc w:val="center"/>
      </w:pPr>
      <w:r>
        <w:rPr>
          <w:sz w:val="2"/>
          <w:szCs w:val="2"/>
        </w:rPr>
        <w:t xml:space="preserve"/>
      </w:r>
    </w:p>
    <w:p>
      <w:pPr>
        <w:spacing w:after="40" w:before="900"/>
        <w:jc w:val="center"/>
      </w:pPr>
      <w:r>
        <w:rPr>
          <w:rFonts w:ascii="Calibri" w:cs="Calibri" w:eastAsia="Calibri" w:hAnsi="Calibri"/>
          <w:color w:val="595959"/>
          <w:sz w:val="20"/>
          <w:szCs w:val="20"/>
        </w:rPr>
        <w:t xml:space="preserve">Prepared by</w:t>
      </w:r>
    </w:p>
    <w:p>
      <w:pPr>
        <w:spacing w:after="200"/>
        <w:jc w:val="center"/>
      </w:pPr>
      <w:r>
        <w:rPr>
          <w:rFonts w:ascii="Calibri" w:cs="Calibri" w:eastAsia="Calibri" w:hAnsi="Calibri"/>
          <w:b/>
          <w:bCs/>
          <w:color w:val="222222"/>
          <w:sz w:val="26"/>
          <w:szCs w:val="26"/>
        </w:rPr>
        <w:t xml:space="preserve">Chayansh</w:t>
      </w:r>
    </w:p>
    <w:p>
      <w:pPr>
        <w:spacing w:after="40" w:before="300"/>
        <w:jc w:val="center"/>
      </w:pPr>
      <w:r>
        <w:rPr>
          <w:rFonts w:ascii="Calibri" w:cs="Calibri" w:eastAsia="Calibri" w:hAnsi="Calibri"/>
          <w:color w:val="595959"/>
          <w:sz w:val="20"/>
          <w:szCs w:val="20"/>
        </w:rPr>
        <w:t xml:space="preserve">Source Repository</w:t>
      </w:r>
    </w:p>
    <w:p>
      <w:pPr>
        <w:spacing w:after="200"/>
        <w:jc w:val="center"/>
      </w:pPr>
      <w:r>
        <w:rPr>
          <w:rFonts w:ascii="Calibri" w:cs="Calibri" w:eastAsia="Calibri" w:hAnsi="Calibri"/>
          <w:color w:val="2E6199"/>
          <w:sz w:val="22"/>
          <w:szCs w:val="22"/>
        </w:rPr>
        <w:t xml:space="preserve">github.com/chayanshh/hotel-revenue-analysis</w:t>
      </w:r>
    </w:p>
    <w:p>
      <w:pPr>
        <w:spacing w:after="40" w:before="300"/>
        <w:jc w:val="center"/>
      </w:pPr>
      <w:r>
        <w:rPr>
          <w:rFonts w:ascii="Calibri" w:cs="Calibri" w:eastAsia="Calibri" w:hAnsi="Calibri"/>
          <w:color w:val="595959"/>
          <w:sz w:val="20"/>
          <w:szCs w:val="20"/>
        </w:rPr>
        <w:t xml:space="preserve">Date</w:t>
      </w:r>
    </w:p>
    <w:p>
      <w:pPr>
        <w:spacing w:after="200"/>
        <w:jc w:val="center"/>
      </w:pPr>
      <w:r>
        <w:rPr>
          <w:rFonts w:ascii="Calibri" w:cs="Calibri" w:eastAsia="Calibri" w:hAnsi="Calibri"/>
          <w:color w:val="222222"/>
          <w:sz w:val="22"/>
          <w:szCs w:val="22"/>
        </w:rPr>
        <w:t xml:space="preserve">July 2026</w:t>
      </w:r>
    </w:p>
    <w:p>
      <w:pPr>
        <w:spacing w:before="1200"/>
        <w:jc w:val="center"/>
      </w:pPr>
      <w:r>
        <w:rPr>
          <w:rFonts w:ascii="Calibri" w:cs="Calibri" w:eastAsia="Calibri" w:hAnsi="Calibri"/>
          <w:i/>
          <w:iCs/>
          <w:color w:val="595959"/>
          <w:sz w:val="19"/>
          <w:szCs w:val="19"/>
        </w:rPr>
        <w:t xml:space="preserve">Tools: Microsoft Power BI  ·  Power Query  ·  DAX</w:t>
      </w:r>
    </w:p>
    <w:p>
      <w:pPr>
        <w:sectPr>
          <w:pgSz w:w="11906" w:h="16838" w:orient="portrait"/>
          <w:pgMar w:top="1440" w:right="1350" w:bottom="1440" w:left="1350" w:header="708" w:footer="708" w:gutter="0"/>
          <w:pgNumType/>
          <w:docGrid w:linePitch="360"/>
        </w:sectPr>
      </w:pPr>
    </w:p>
    <w:p>
      <w:pPr>
        <w:pStyle w:val="Heading1"/>
        <w:pBdr>
          <w:bottom w:val="single" w:color="C9D4DE" w:sz="6" w:space="6"/>
        </w:pBdr>
        <w:spacing w:after="200" w:before="480"/>
      </w:pPr>
      <w:r>
        <w:rPr>
          <w:rFonts w:ascii="Cambria" w:cs="Cambria" w:eastAsia="Cambria" w:hAnsi="Cambria"/>
          <w:b/>
          <w:bCs/>
          <w:color w:val="1F3A5C"/>
          <w:sz w:val="30"/>
          <w:szCs w:val="30"/>
        </w:rPr>
        <w:t xml:space="preserve">Executive Summary</w:t>
      </w:r>
    </w:p>
    <w:p>
      <w:pPr>
        <w:spacing w:after="160" w:line="288"/>
      </w:pPr>
      <w:r>
        <w:rPr>
          <w:rFonts w:ascii="Calibri" w:cs="Calibri" w:eastAsia="Calibri" w:hAnsi="Calibri"/>
          <w:b w:val="false"/>
          <w:bCs w:val="false"/>
          <w:i w:val="false"/>
          <w:iCs w:val="false"/>
          <w:color w:val="222222"/>
          <w:sz w:val="21"/>
          <w:szCs w:val="21"/>
        </w:rPr>
        <w:t xml:space="preserve">This report summarizes the Hotel Revenue Analysis project — a Power BI business intelligence solution built to give hotel revenue managers and leadership a single, self-serve view of performance across a multi-property hotel portfolio. Drawing on a dataset of more than 130,000 individual bookings, the project tracks occupancy trends, booking-platform performance, room-type profitability, and week-over-week movement in the core revenue KPIs.</w:t>
      </w:r>
    </w:p>
    <w:p>
      <w:pPr>
        <w:spacing w:after="160" w:line="288"/>
      </w:pPr>
      <w:r>
        <w:rPr>
          <w:rFonts w:ascii="Calibri" w:cs="Calibri" w:eastAsia="Calibri" w:hAnsi="Calibri"/>
          <w:b w:val="false"/>
          <w:bCs w:val="false"/>
          <w:i w:val="false"/>
          <w:iCs w:val="false"/>
          <w:color w:val="222222"/>
          <w:sz w:val="21"/>
          <w:szCs w:val="21"/>
        </w:rPr>
        <w:t xml:space="preserve">The build follows a standard BI project lifecycle. Raw booking and property data was organized into a star-schema data model; key metrics were defined against a stakeholder-supplied KPI brief; and the resulting model and report pages were assembled in Power BI. This document walks through the business objective, the data and methodology behind the analysis, the KPI framework the dashboard is built around, and the specific questions it is designed to answer for stakeholders — with a dedicated section (Section 6) held ready for the final numbers once they are pulled from the completed dashboard.</w:t>
      </w:r>
    </w:p>
    <w:p>
      <w:pPr>
        <w:spacing w:after="160" w:line="288"/>
      </w:pPr>
      <w:r>
        <w:rPr>
          <w:rFonts w:ascii="Calibri" w:cs="Calibri" w:eastAsia="Calibri" w:hAnsi="Calibri"/>
          <w:b/>
          <w:bCs/>
          <w:color w:val="222222"/>
          <w:sz w:val="21"/>
          <w:szCs w:val="21"/>
        </w:rPr>
        <w:t xml:space="preserve">Status at a glance: </w:t>
      </w:r>
      <w:r>
        <w:rPr>
          <w:rFonts w:ascii="Calibri" w:cs="Calibri" w:eastAsia="Calibri" w:hAnsi="Calibri"/>
          <w:color w:val="222222"/>
          <w:sz w:val="21"/>
          <w:szCs w:val="21"/>
        </w:rPr>
        <w:t xml:space="preserve">data modeling and metric design are complete and the dashboard has been built. Validating the final figures and running the stakeholder walkthrough are the remaining steps to close the project out — see Section 8 for the full roadmap.</w:t>
      </w:r>
    </w:p>
    <w:p>
      <w:pPr>
        <w:pStyle w:val="Heading1"/>
        <w:pBdr>
          <w:bottom w:val="single" w:color="C9D4DE" w:sz="6" w:space="6"/>
        </w:pBdr>
        <w:spacing w:after="200" w:before="480"/>
      </w:pPr>
      <w:r>
        <w:rPr>
          <w:rFonts w:ascii="Cambria" w:cs="Cambria" w:eastAsia="Cambria" w:hAnsi="Cambria"/>
          <w:b/>
          <w:bCs/>
          <w:color w:val="1F3A5C"/>
          <w:sz w:val="30"/>
          <w:szCs w:val="30"/>
        </w:rPr>
        <w:t xml:space="preserve">1. Business Background &amp; Objective</w:t>
      </w:r>
    </w:p>
    <w:p>
      <w:pPr>
        <w:spacing w:after="160" w:line="288"/>
      </w:pPr>
      <w:r>
        <w:rPr>
          <w:rFonts w:ascii="Calibri" w:cs="Calibri" w:eastAsia="Calibri" w:hAnsi="Calibri"/>
          <w:b w:val="false"/>
          <w:bCs w:val="false"/>
          <w:i w:val="false"/>
          <w:iCs w:val="false"/>
          <w:color w:val="222222"/>
          <w:sz w:val="21"/>
          <w:szCs w:val="21"/>
        </w:rPr>
        <w:t xml:space="preserve">Many hotel groups run property performance reporting off spreadsheets and manual pulls from booking systems, which makes it slow to answer basic but important questions: Which properties are under-performing, and why? Which booking channels are actually worth investing further in? Are certain room categories under-priced or under-sold? Is performance improving or slipping this week compared to last?</w:t>
      </w:r>
    </w:p>
    <w:p>
      <w:pPr>
        <w:spacing w:after="160" w:line="288"/>
      </w:pPr>
      <w:r>
        <w:rPr>
          <w:rFonts w:ascii="Calibri" w:cs="Calibri" w:eastAsia="Calibri" w:hAnsi="Calibri"/>
          <w:b w:val="false"/>
          <w:bCs w:val="false"/>
          <w:i w:val="false"/>
          <w:iCs w:val="false"/>
          <w:color w:val="222222"/>
          <w:sz w:val="21"/>
          <w:szCs w:val="21"/>
        </w:rPr>
        <w:t xml:space="preserve">This project addresses that gap for a multi-property hotel portfolio spanning several major Indian cities and a mix of five-star and business-category hotels. The objective was to design and build a single Power BI dashboard that lets revenue managers self-serve the answers to these questions, replacing scattered manual reporting with one governed source of truth.</w:t>
      </w:r>
    </w:p>
    <w:p>
      <w:pPr>
        <w:spacing w:after="160" w:line="288"/>
      </w:pPr>
      <w:r>
        <w:rPr>
          <w:rFonts w:ascii="Calibri" w:cs="Calibri" w:eastAsia="Calibri" w:hAnsi="Calibri"/>
          <w:b w:val="false"/>
          <w:bCs w:val="false"/>
          <w:i w:val="false"/>
          <w:iCs w:val="false"/>
          <w:color w:val="222222"/>
          <w:sz w:val="21"/>
          <w:szCs w:val="21"/>
        </w:rPr>
        <w:t xml:space="preserve">The scope was defined against a stakeholder-supplied brief (“Business KPIs for hotel.pdf”) that specifies the metrics to track and a mock-up of the intended dashboard layout — so the build is anchored to stated business requirements rather than an open-ended exploration.</w:t>
      </w:r>
    </w:p>
    <w:p>
      <w:pPr>
        <w:pStyle w:val="Heading1"/>
        <w:pBdr>
          <w:bottom w:val="single" w:color="C9D4DE" w:sz="6" w:space="6"/>
        </w:pBdr>
        <w:spacing w:after="200" w:before="480"/>
      </w:pPr>
      <w:r>
        <w:rPr>
          <w:rFonts w:ascii="Cambria" w:cs="Cambria" w:eastAsia="Cambria" w:hAnsi="Cambria"/>
          <w:b/>
          <w:bCs/>
          <w:color w:val="1F3A5C"/>
          <w:sz w:val="30"/>
          <w:szCs w:val="30"/>
        </w:rPr>
        <w:t xml:space="preserve">2. Project Scope &amp; Data Sources</w:t>
      </w:r>
    </w:p>
    <w:p>
      <w:pPr>
        <w:spacing w:after="160" w:line="288"/>
      </w:pPr>
      <w:r>
        <w:rPr>
          <w:rFonts w:ascii="Calibri" w:cs="Calibri" w:eastAsia="Calibri" w:hAnsi="Calibri"/>
          <w:b w:val="false"/>
          <w:bCs w:val="false"/>
          <w:i w:val="false"/>
          <w:iCs w:val="false"/>
          <w:color w:val="222222"/>
          <w:sz w:val="21"/>
          <w:szCs w:val="21"/>
        </w:rPr>
        <w:t xml:space="preserve">The analysis sits on a relational, star-schema dataset made up of two fact tables and three dimension tables, alongside the stakeholder requirements brief and the finished dashboard file:</w:t>
      </w:r>
    </w:p>
    <w:tbl>
      <w:tblPr>
        <w:tblW w:type="dxa" w:w="9950"/>
        <w:tblBorders>
          <w:top w:val="single" w:color="C9D4DE" w:sz="4"/>
          <w:left w:val="single" w:color="C9D4DE" w:sz="4"/>
          <w:bottom w:val="single" w:color="C9D4DE" w:sz="4"/>
          <w:right w:val="single" w:color="C9D4DE" w:sz="4"/>
          <w:insideH w:val="single" w:color="C9D4DE" w:sz="4"/>
          <w:insideV w:val="single" w:color="C9D4DE" w:sz="4"/>
        </w:tblBorders>
      </w:tblPr>
      <w:tblGrid>
        <w:gridCol w:w="2150"/>
        <w:gridCol w:w="1500"/>
        <w:gridCol w:w="4200"/>
        <w:gridCol w:w="2100"/>
      </w:tblGrid>
      <w:tr>
        <w:trPr>
          <w:tblHeader/>
        </w:trPr>
        <w:tc>
          <w:tcPr>
            <w:tcW w:type="dxa" w:w="2150"/>
            <w:shd w:fill="1F3A5C"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19"/>
                <w:szCs w:val="19"/>
              </w:rPr>
              <w:t xml:space="preserve">File</w:t>
            </w:r>
          </w:p>
        </w:tc>
        <w:tc>
          <w:tcPr>
            <w:tcW w:type="dxa" w:w="1500"/>
            <w:shd w:fill="1F3A5C"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19"/>
                <w:szCs w:val="19"/>
              </w:rPr>
              <w:t xml:space="preserve">Type</w:t>
            </w:r>
          </w:p>
        </w:tc>
        <w:tc>
          <w:tcPr>
            <w:tcW w:type="dxa" w:w="4200"/>
            <w:shd w:fill="1F3A5C"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19"/>
                <w:szCs w:val="19"/>
              </w:rPr>
              <w:t xml:space="preserve">Contents</w:t>
            </w:r>
          </w:p>
        </w:tc>
        <w:tc>
          <w:tcPr>
            <w:tcW w:type="dxa" w:w="2100"/>
            <w:shd w:fill="1F3A5C"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19"/>
                <w:szCs w:val="19"/>
              </w:rPr>
              <w:t xml:space="preserve">Role in the Analysis</w:t>
            </w:r>
          </w:p>
        </w:tc>
      </w:tr>
      <w:tr>
        <w:tc>
          <w:tcPr>
            <w:tcW w:type="dxa" w:w="215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fact_bookings.csv</w:t>
            </w:r>
          </w:p>
        </w:tc>
        <w:tc>
          <w:tcPr>
            <w:tcW w:type="dxa" w:w="15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Fact (transaction)</w:t>
            </w:r>
          </w:p>
        </w:tc>
        <w:tc>
          <w:tcPr>
            <w:tcW w:type="dxa" w:w="42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One row per booking: dates, room category, booking platform, guest rating, booking status, revenue generated &amp; realized</w:t>
            </w:r>
          </w:p>
        </w:tc>
        <w:tc>
          <w:tcPr>
            <w:tcW w:type="dxa" w:w="21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Core detail table behind every KPI</w:t>
            </w:r>
          </w:p>
        </w:tc>
      </w:tr>
      <w:tr>
        <w:tc>
          <w:tcPr>
            <w:tcW w:type="dxa" w:w="215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fact_aggregated_bookings.csv</w:t>
            </w:r>
          </w:p>
        </w:tc>
        <w:tc>
          <w:tcPr>
            <w:tcW w:type="dxa" w:w="150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Fact (daily aggregate)</w:t>
            </w:r>
          </w:p>
        </w:tc>
        <w:tc>
          <w:tcPr>
            <w:tcW w:type="dxa" w:w="420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Daily successful bookings and room capacity by property and room category</w:t>
            </w:r>
          </w:p>
        </w:tc>
        <w:tc>
          <w:tcPr>
            <w:tcW w:type="dxa" w:w="210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Powers occupancy and capacity-based metrics</w:t>
            </w:r>
          </w:p>
        </w:tc>
      </w:tr>
      <w:tr>
        <w:tc>
          <w:tcPr>
            <w:tcW w:type="dxa" w:w="215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dim_hotels.csv</w:t>
            </w:r>
          </w:p>
        </w:tc>
        <w:tc>
          <w:tcPr>
            <w:tcW w:type="dxa" w:w="15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Dimension</w:t>
            </w:r>
          </w:p>
        </w:tc>
        <w:tc>
          <w:tcPr>
            <w:tcW w:type="dxa" w:w="42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Property ID, name, category and city for each of the 25 properties in the portfolio</w:t>
            </w:r>
          </w:p>
        </w:tc>
        <w:tc>
          <w:tcPr>
            <w:tcW w:type="dxa" w:w="21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Enables city-, property- and category-level cuts</w:t>
            </w:r>
          </w:p>
        </w:tc>
      </w:tr>
      <w:tr>
        <w:tc>
          <w:tcPr>
            <w:tcW w:type="dxa" w:w="215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dim_rooms.csv</w:t>
            </w:r>
          </w:p>
        </w:tc>
        <w:tc>
          <w:tcPr>
            <w:tcW w:type="dxa" w:w="150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Dimension</w:t>
            </w:r>
          </w:p>
        </w:tc>
        <w:tc>
          <w:tcPr>
            <w:tcW w:type="dxa" w:w="420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Room ID and room class</w:t>
            </w:r>
          </w:p>
        </w:tc>
        <w:tc>
          <w:tcPr>
            <w:tcW w:type="dxa" w:w="210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Enables room-type profitability analysis</w:t>
            </w:r>
          </w:p>
        </w:tc>
      </w:tr>
      <w:tr>
        <w:tc>
          <w:tcPr>
            <w:tcW w:type="dxa" w:w="215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dim_date.csv</w:t>
            </w:r>
          </w:p>
        </w:tc>
        <w:tc>
          <w:tcPr>
            <w:tcW w:type="dxa" w:w="15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Dimension</w:t>
            </w:r>
          </w:p>
        </w:tc>
        <w:tc>
          <w:tcPr>
            <w:tcW w:type="dxa" w:w="42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Calendar table with week numbers and weekday/weekend flags</w:t>
            </w:r>
          </w:p>
        </w:tc>
        <w:tc>
          <w:tcPr>
            <w:tcW w:type="dxa" w:w="21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Enables trend and week-over-week analysis</w:t>
            </w:r>
          </w:p>
        </w:tc>
      </w:tr>
      <w:tr>
        <w:tc>
          <w:tcPr>
            <w:tcW w:type="dxa" w:w="215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Business kpis for hotel.pdf</w:t>
            </w:r>
          </w:p>
        </w:tc>
        <w:tc>
          <w:tcPr>
            <w:tcW w:type="dxa" w:w="150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Requirements brief</w:t>
            </w:r>
          </w:p>
        </w:tc>
        <w:tc>
          <w:tcPr>
            <w:tcW w:type="dxa" w:w="420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Metric definitions and a dashboard mock-up</w:t>
            </w:r>
          </w:p>
        </w:tc>
        <w:tc>
          <w:tcPr>
            <w:tcW w:type="dxa" w:w="210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Defines the scope and target layout for the build</w:t>
            </w:r>
          </w:p>
        </w:tc>
      </w:tr>
      <w:tr>
        <w:tc>
          <w:tcPr>
            <w:tcW w:type="dxa" w:w="215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Hotel Revenue.pbix</w:t>
            </w:r>
          </w:p>
        </w:tc>
        <w:tc>
          <w:tcPr>
            <w:tcW w:type="dxa" w:w="15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Deliverable</w:t>
            </w:r>
          </w:p>
        </w:tc>
        <w:tc>
          <w:tcPr>
            <w:tcW w:type="dxa" w:w="42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The Power BI file: data model, DAX measures and report pages</w:t>
            </w:r>
          </w:p>
        </w:tc>
        <w:tc>
          <w:tcPr>
            <w:tcW w:type="dxa" w:w="21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The finished analytical product</w:t>
            </w:r>
          </w:p>
        </w:tc>
      </w:tr>
    </w:tbl>
    <w:p>
      <w:pPr>
        <w:spacing w:after="60" w:line="288"/>
      </w:pPr>
      <w:r>
        <w:rPr>
          <w:rFonts w:ascii="Calibri" w:cs="Calibri" w:eastAsia="Calibri" w:hAnsi="Calibri"/>
          <w:b w:val="false"/>
          <w:bCs w:val="false"/>
          <w:i/>
          <w:iCs/>
          <w:color w:val="595959"/>
          <w:sz w:val="19"/>
          <w:szCs w:val="19"/>
        </w:rPr>
        <w:t xml:space="preserve">Scale: the fact tables cover 130,000+ individual bookings — enough volume to support week-level and platform-level breakdowns without small-sample noise.</w:t>
      </w:r>
    </w:p>
    <w:p>
      <w:pPr>
        <w:pStyle w:val="Heading1"/>
        <w:pBdr>
          <w:bottom w:val="single" w:color="C9D4DE" w:sz="6" w:space="6"/>
        </w:pBdr>
        <w:spacing w:after="200" w:before="480"/>
      </w:pPr>
      <w:r>
        <w:rPr>
          <w:rFonts w:ascii="Cambria" w:cs="Cambria" w:eastAsia="Cambria" w:hAnsi="Cambria"/>
          <w:b/>
          <w:bCs/>
          <w:color w:val="1F3A5C"/>
          <w:sz w:val="30"/>
          <w:szCs w:val="30"/>
        </w:rPr>
        <w:t xml:space="preserve">3. Methodology</w:t>
      </w:r>
    </w:p>
    <w:p>
      <w:pPr>
        <w:pStyle w:val="Heading2"/>
        <w:spacing w:after="140" w:before="320"/>
      </w:pPr>
      <w:r>
        <w:rPr>
          <w:rFonts w:ascii="Cambria" w:cs="Cambria" w:eastAsia="Cambria" w:hAnsi="Cambria"/>
          <w:b/>
          <w:bCs/>
          <w:color w:val="2E6199"/>
          <w:sz w:val="24"/>
          <w:szCs w:val="24"/>
        </w:rPr>
        <w:t xml:space="preserve">3.1  Data Preparation</w:t>
      </w:r>
    </w:p>
    <w:p>
      <w:pPr>
        <w:spacing w:after="160" w:line="288"/>
      </w:pPr>
      <w:r>
        <w:rPr>
          <w:rFonts w:ascii="Calibri" w:cs="Calibri" w:eastAsia="Calibri" w:hAnsi="Calibri"/>
          <w:b w:val="false"/>
          <w:bCs w:val="false"/>
          <w:i w:val="false"/>
          <w:iCs w:val="false"/>
          <w:color w:val="222222"/>
          <w:sz w:val="21"/>
          <w:szCs w:val="21"/>
        </w:rPr>
        <w:t xml:space="preserve">Before modeling, standard data-quality checks were applied to every table: confirming there were no missing values in key fields, removing duplicate records, validating that data types (dates, numeric fields, categorical fields) were consistent, and confirming that every foreign key in the fact tables — property ID, room category, date — matched a valid record in its dimension table.</w:t>
      </w:r>
    </w:p>
    <w:p>
      <w:pPr>
        <w:pStyle w:val="Heading2"/>
        <w:spacing w:after="140" w:before="320"/>
      </w:pPr>
      <w:r>
        <w:rPr>
          <w:rFonts w:ascii="Cambria" w:cs="Cambria" w:eastAsia="Cambria" w:hAnsi="Cambria"/>
          <w:b/>
          <w:bCs/>
          <w:color w:val="2E6199"/>
          <w:sz w:val="24"/>
          <w:szCs w:val="24"/>
        </w:rPr>
        <w:t xml:space="preserve">3.2  Data Modeling — Star Schema</w:t>
      </w:r>
    </w:p>
    <w:p>
      <w:pPr>
        <w:spacing w:after="160" w:line="288"/>
      </w:pPr>
      <w:r>
        <w:rPr>
          <w:rFonts w:ascii="Calibri" w:cs="Calibri" w:eastAsia="Calibri" w:hAnsi="Calibri"/>
          <w:b w:val="false"/>
          <w:bCs w:val="false"/>
          <w:i w:val="false"/>
          <w:iCs w:val="false"/>
          <w:color w:val="222222"/>
          <w:sz w:val="21"/>
          <w:szCs w:val="21"/>
        </w:rPr>
        <w:t xml:space="preserve">The two fact tables were connected to the three dimension tables in a star-schema layout, with dim_date, dim_hotels, and dim_rooms surrounding the fact tables at the centre. This keeps the model fast to query and makes it straightforward to slice any KPI by date, property, city, or room class inside Power BI.</w:t>
      </w:r>
    </w:p>
    <w:p>
      <w:pPr>
        <w:pStyle w:val="Heading2"/>
        <w:spacing w:after="140" w:before="320"/>
      </w:pPr>
      <w:r>
        <w:rPr>
          <w:rFonts w:ascii="Cambria" w:cs="Cambria" w:eastAsia="Cambria" w:hAnsi="Cambria"/>
          <w:b/>
          <w:bCs/>
          <w:color w:val="2E6199"/>
          <w:sz w:val="24"/>
          <w:szCs w:val="24"/>
        </w:rPr>
        <w:t xml:space="preserve">3.3  Metric Design</w:t>
      </w:r>
    </w:p>
    <w:p>
      <w:pPr>
        <w:spacing w:after="160" w:line="288"/>
      </w:pPr>
      <w:r>
        <w:rPr>
          <w:rFonts w:ascii="Calibri" w:cs="Calibri" w:eastAsia="Calibri" w:hAnsi="Calibri"/>
          <w:b w:val="false"/>
          <w:bCs w:val="false"/>
          <w:i w:val="false"/>
          <w:iCs w:val="false"/>
          <w:color w:val="222222"/>
          <w:sz w:val="21"/>
          <w:szCs w:val="21"/>
        </w:rPr>
        <w:t xml:space="preserve">Two revenue figures matter in this dataset, and the distinction is central to the analysis:</w:t>
      </w:r>
    </w:p>
    <w:p>
      <w:pPr>
        <w:pStyle w:val="ListParagraph"/>
        <w:numPr>
          <w:ilvl w:val="0"/>
          <w:numId w:val="1"/>
        </w:numPr>
        <w:spacing w:after="100" w:line="276"/>
      </w:pPr>
      <w:r>
        <w:rPr>
          <w:rFonts w:ascii="Calibri" w:cs="Calibri" w:eastAsia="Calibri" w:hAnsi="Calibri"/>
          <w:b/>
          <w:bCs/>
          <w:sz w:val="21"/>
          <w:szCs w:val="21"/>
        </w:rPr>
        <w:t xml:space="preserve">Revenue Generated: </w:t>
      </w:r>
      <w:r>
        <w:rPr>
          <w:rFonts w:ascii="Calibri" w:cs="Calibri" w:eastAsia="Calibri" w:hAnsi="Calibri"/>
          <w:sz w:val="21"/>
          <w:szCs w:val="21"/>
        </w:rPr>
        <w:t xml:space="preserve">the gross value of a booking before its outcome is applied.</w:t>
      </w:r>
    </w:p>
    <w:p>
      <w:pPr>
        <w:pStyle w:val="ListParagraph"/>
        <w:numPr>
          <w:ilvl w:val="0"/>
          <w:numId w:val="1"/>
        </w:numPr>
        <w:spacing w:after="100" w:line="276"/>
      </w:pPr>
      <w:r>
        <w:rPr>
          <w:rFonts w:ascii="Calibri" w:cs="Calibri" w:eastAsia="Calibri" w:hAnsi="Calibri"/>
          <w:b/>
          <w:bCs/>
          <w:sz w:val="21"/>
          <w:szCs w:val="21"/>
        </w:rPr>
        <w:t xml:space="preserve">Revenue Realized: </w:t>
      </w:r>
      <w:r>
        <w:rPr>
          <w:rFonts w:ascii="Calibri" w:cs="Calibri" w:eastAsia="Calibri" w:hAnsi="Calibri"/>
          <w:sz w:val="21"/>
          <w:szCs w:val="21"/>
        </w:rPr>
        <w:t xml:space="preserve">what the hotel actually keeps once the booking's final status is applied — cancelled bookings realize a reduced share of revenue generated, reflecting a cancellation charge, while checked-out and no-show bookings realize the full amount.</w:t>
      </w:r>
    </w:p>
    <w:p>
      <w:pPr>
        <w:spacing w:after="160" w:line="288"/>
      </w:pPr>
      <w:r>
        <w:rPr>
          <w:rFonts w:ascii="Calibri" w:cs="Calibri" w:eastAsia="Calibri" w:hAnsi="Calibri"/>
          <w:b w:val="false"/>
          <w:bCs w:val="false"/>
          <w:i w:val="false"/>
          <w:iCs w:val="false"/>
          <w:color w:val="222222"/>
          <w:sz w:val="21"/>
          <w:szCs w:val="21"/>
        </w:rPr>
        <w:t xml:space="preserve">All downstream KPIs — ADR, RevPAR, Realization % — are built on Revenue Realized so they reflect actual, not booked, performance.</w:t>
      </w:r>
    </w:p>
    <w:p>
      <w:pPr>
        <w:pStyle w:val="Heading2"/>
        <w:spacing w:after="140" w:before="320"/>
      </w:pPr>
      <w:r>
        <w:rPr>
          <w:rFonts w:ascii="Cambria" w:cs="Cambria" w:eastAsia="Cambria" w:hAnsi="Cambria"/>
          <w:b/>
          <w:bCs/>
          <w:color w:val="2E6199"/>
          <w:sz w:val="24"/>
          <w:szCs w:val="24"/>
        </w:rPr>
        <w:t xml:space="preserve">3.4  Tools</w:t>
      </w:r>
    </w:p>
    <w:p>
      <w:pPr>
        <w:spacing w:after="160" w:line="288"/>
      </w:pPr>
      <w:r>
        <w:rPr>
          <w:rFonts w:ascii="Calibri" w:cs="Calibri" w:eastAsia="Calibri" w:hAnsi="Calibri"/>
          <w:b w:val="false"/>
          <w:bCs w:val="false"/>
          <w:i w:val="false"/>
          <w:iCs w:val="false"/>
          <w:color w:val="222222"/>
          <w:sz w:val="21"/>
          <w:szCs w:val="21"/>
        </w:rPr>
        <w:t xml:space="preserve">Microsoft Power BI was used end-to-end: Power Query for data preparation, the internal data model for relationships, and DAX for all calculated measures — including the week-over-week comparison measures built with time-intelligence patterns against dim_date.</w:t>
      </w:r>
    </w:p>
    <w:p>
      <w:pPr>
        <w:pStyle w:val="Heading1"/>
        <w:pBdr>
          <w:bottom w:val="single" w:color="C9D4DE" w:sz="6" w:space="6"/>
        </w:pBdr>
        <w:spacing w:after="200" w:before="480"/>
      </w:pPr>
      <w:r>
        <w:rPr>
          <w:rFonts w:ascii="Cambria" w:cs="Cambria" w:eastAsia="Cambria" w:hAnsi="Cambria"/>
          <w:b/>
          <w:bCs/>
          <w:color w:val="1F3A5C"/>
          <w:sz w:val="30"/>
          <w:szCs w:val="30"/>
        </w:rPr>
        <w:t xml:space="preserve">4. KPI Framework</w:t>
      </w:r>
    </w:p>
    <w:p>
      <w:pPr>
        <w:spacing w:after="160" w:line="288"/>
      </w:pPr>
      <w:r>
        <w:rPr>
          <w:rFonts w:ascii="Calibri" w:cs="Calibri" w:eastAsia="Calibri" w:hAnsi="Calibri"/>
          <w:b w:val="false"/>
          <w:bCs w:val="false"/>
          <w:i w:val="false"/>
          <w:iCs w:val="false"/>
          <w:color w:val="222222"/>
          <w:sz w:val="21"/>
          <w:szCs w:val="21"/>
        </w:rPr>
        <w:t xml:space="preserve">The dashboard is built around the following core metrics, each tied to a specific stakeholder question drawn from the KPI brief:</w:t>
      </w:r>
    </w:p>
    <w:tbl>
      <w:tblPr>
        <w:tblW w:type="dxa" w:w="9450"/>
        <w:tblBorders>
          <w:top w:val="single" w:color="C9D4DE" w:sz="4"/>
          <w:left w:val="single" w:color="C9D4DE" w:sz="4"/>
          <w:bottom w:val="single" w:color="C9D4DE" w:sz="4"/>
          <w:right w:val="single" w:color="C9D4DE" w:sz="4"/>
          <w:insideH w:val="single" w:color="C9D4DE" w:sz="4"/>
          <w:insideV w:val="single" w:color="C9D4DE" w:sz="4"/>
        </w:tblBorders>
      </w:tblPr>
      <w:tblGrid>
        <w:gridCol w:w="2300"/>
        <w:gridCol w:w="3400"/>
        <w:gridCol w:w="3750"/>
      </w:tblGrid>
      <w:tr>
        <w:trPr>
          <w:tblHeader/>
        </w:trPr>
        <w:tc>
          <w:tcPr>
            <w:tcW w:type="dxa" w:w="2300"/>
            <w:shd w:fill="1F3A5C"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19"/>
                <w:szCs w:val="19"/>
              </w:rPr>
              <w:t xml:space="preserve">KPI</w:t>
            </w:r>
          </w:p>
        </w:tc>
        <w:tc>
          <w:tcPr>
            <w:tcW w:type="dxa" w:w="3400"/>
            <w:shd w:fill="1F3A5C"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19"/>
                <w:szCs w:val="19"/>
              </w:rPr>
              <w:t xml:space="preserve">What It Measures</w:t>
            </w:r>
          </w:p>
        </w:tc>
        <w:tc>
          <w:tcPr>
            <w:tcW w:type="dxa" w:w="3750"/>
            <w:shd w:fill="1F3A5C"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19"/>
                <w:szCs w:val="19"/>
              </w:rPr>
              <w:t xml:space="preserve">Stakeholder Question It Answers</w:t>
            </w:r>
          </w:p>
        </w:tc>
      </w:tr>
      <w:tr>
        <w:tc>
          <w:tcPr>
            <w:tcW w:type="dxa" w:w="23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Total Revenue (Realized)</w:t>
            </w:r>
          </w:p>
        </w:tc>
        <w:tc>
          <w:tcPr>
            <w:tcW w:type="dxa" w:w="34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Sum of revenue actually retained across all bookings</w:t>
            </w:r>
          </w:p>
        </w:tc>
        <w:tc>
          <w:tcPr>
            <w:tcW w:type="dxa" w:w="375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How much is the portfolio actually earning?</w:t>
            </w:r>
          </w:p>
        </w:tc>
      </w:tr>
      <w:tr>
        <w:tc>
          <w:tcPr>
            <w:tcW w:type="dxa" w:w="230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Occupancy %</w:t>
            </w:r>
          </w:p>
        </w:tc>
        <w:tc>
          <w:tcPr>
            <w:tcW w:type="dxa" w:w="340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Successful bookings ÷ available room capacity</w:t>
            </w:r>
          </w:p>
        </w:tc>
        <w:tc>
          <w:tcPr>
            <w:tcW w:type="dxa" w:w="375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How well is room inventory being utilized?</w:t>
            </w:r>
          </w:p>
        </w:tc>
      </w:tr>
      <w:tr>
        <w:tc>
          <w:tcPr>
            <w:tcW w:type="dxa" w:w="23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ADR (Average Daily Rate)</w:t>
            </w:r>
          </w:p>
        </w:tc>
        <w:tc>
          <w:tcPr>
            <w:tcW w:type="dxa" w:w="34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Revenue realized ÷ rooms sold</w:t>
            </w:r>
          </w:p>
        </w:tc>
        <w:tc>
          <w:tcPr>
            <w:tcW w:type="dxa" w:w="375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What price is actually being realized per room sold?</w:t>
            </w:r>
          </w:p>
        </w:tc>
      </w:tr>
      <w:tr>
        <w:tc>
          <w:tcPr>
            <w:tcW w:type="dxa" w:w="230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RevPAR</w:t>
            </w:r>
          </w:p>
        </w:tc>
        <w:tc>
          <w:tcPr>
            <w:tcW w:type="dxa" w:w="340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ADR × Occupancy %  (or Revenue realized ÷ rooms available)</w:t>
            </w:r>
          </w:p>
        </w:tc>
        <w:tc>
          <w:tcPr>
            <w:tcW w:type="dxa" w:w="375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Combined pricing + utilization efficiency, per property</w:t>
            </w:r>
          </w:p>
        </w:tc>
      </w:tr>
      <w:tr>
        <w:tc>
          <w:tcPr>
            <w:tcW w:type="dxa" w:w="23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Realization %</w:t>
            </w:r>
          </w:p>
        </w:tc>
        <w:tc>
          <w:tcPr>
            <w:tcW w:type="dxa" w:w="34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Revenue realized ÷ revenue generated</w:t>
            </w:r>
          </w:p>
        </w:tc>
        <w:tc>
          <w:tcPr>
            <w:tcW w:type="dxa" w:w="375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How much revenue is lost to cancellations/no-shows?</w:t>
            </w:r>
          </w:p>
        </w:tc>
      </w:tr>
      <w:tr>
        <w:tc>
          <w:tcPr>
            <w:tcW w:type="dxa" w:w="230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Booking Mix by Platform</w:t>
            </w:r>
          </w:p>
        </w:tc>
        <w:tc>
          <w:tcPr>
            <w:tcW w:type="dxa" w:w="340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Share of total bookings by booking channel</w:t>
            </w:r>
          </w:p>
        </w:tc>
        <w:tc>
          <w:tcPr>
            <w:tcW w:type="dxa" w:w="375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Which channels drive the most volume and revenue?</w:t>
            </w:r>
          </w:p>
        </w:tc>
      </w:tr>
      <w:tr>
        <w:tc>
          <w:tcPr>
            <w:tcW w:type="dxa" w:w="23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Booking Mix by Room Class</w:t>
            </w:r>
          </w:p>
        </w:tc>
        <w:tc>
          <w:tcPr>
            <w:tcW w:type="dxa" w:w="34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Share of total bookings by room category</w:t>
            </w:r>
          </w:p>
        </w:tc>
        <w:tc>
          <w:tcPr>
            <w:tcW w:type="dxa" w:w="375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Which room tiers are most in demand?</w:t>
            </w:r>
          </w:p>
        </w:tc>
      </w:tr>
      <w:tr>
        <w:tc>
          <w:tcPr>
            <w:tcW w:type="dxa" w:w="230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Cancellation %</w:t>
            </w:r>
          </w:p>
        </w:tc>
        <w:tc>
          <w:tcPr>
            <w:tcW w:type="dxa" w:w="340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Cancelled bookings ÷ total bookings</w:t>
            </w:r>
          </w:p>
        </w:tc>
        <w:tc>
          <w:tcPr>
            <w:tcW w:type="dxa" w:w="375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How exposed is the business to cancellation risk, and where?</w:t>
            </w:r>
          </w:p>
        </w:tc>
      </w:tr>
      <w:tr>
        <w:tc>
          <w:tcPr>
            <w:tcW w:type="dxa" w:w="23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Week-over-Week (WoW) % Change</w:t>
            </w:r>
          </w:p>
        </w:tc>
        <w:tc>
          <w:tcPr>
            <w:tcW w:type="dxa" w:w="34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Change in a metric vs. the immediately prior week</w:t>
            </w:r>
          </w:p>
        </w:tc>
        <w:tc>
          <w:tcPr>
            <w:tcW w:type="dxa" w:w="375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Is performance trending up or down right now?</w:t>
            </w:r>
          </w:p>
        </w:tc>
      </w:tr>
    </w:tbl>
    <w:p>
      <w:pPr>
        <w:pStyle w:val="Heading1"/>
        <w:pBdr>
          <w:bottom w:val="single" w:color="C9D4DE" w:sz="6" w:space="6"/>
        </w:pBdr>
        <w:spacing w:after="200" w:before="480"/>
      </w:pPr>
      <w:r>
        <w:rPr>
          <w:rFonts w:ascii="Cambria" w:cs="Cambria" w:eastAsia="Cambria" w:hAnsi="Cambria"/>
          <w:b/>
          <w:bCs/>
          <w:color w:val="1F3A5C"/>
          <w:sz w:val="30"/>
          <w:szCs w:val="30"/>
        </w:rPr>
        <w:t xml:space="preserve">5. Dashboard Structure</w:t>
      </w:r>
    </w:p>
    <w:p>
      <w:pPr>
        <w:spacing w:after="160" w:line="288"/>
      </w:pPr>
      <w:r>
        <w:rPr>
          <w:rFonts w:ascii="Calibri" w:cs="Calibri" w:eastAsia="Calibri" w:hAnsi="Calibri"/>
          <w:b w:val="false"/>
          <w:bCs w:val="false"/>
          <w:i w:val="false"/>
          <w:iCs w:val="false"/>
          <w:color w:val="222222"/>
          <w:sz w:val="21"/>
          <w:szCs w:val="21"/>
        </w:rPr>
        <w:t xml:space="preserve">The Power BI file (Hotel Revenue.pbix) is organized so a revenue manager can move from a high-level summary down to the specific driver of any change, typically across four report views:</w:t>
      </w:r>
    </w:p>
    <w:p>
      <w:pPr>
        <w:pStyle w:val="ListParagraph"/>
        <w:numPr>
          <w:ilvl w:val="0"/>
          <w:numId w:val="1"/>
        </w:numPr>
        <w:spacing w:after="100" w:line="276"/>
      </w:pPr>
      <w:r>
        <w:rPr>
          <w:rFonts w:ascii="Calibri" w:cs="Calibri" w:eastAsia="Calibri" w:hAnsi="Calibri"/>
          <w:b/>
          <w:bCs/>
          <w:sz w:val="21"/>
          <w:szCs w:val="21"/>
        </w:rPr>
        <w:t xml:space="preserve">Executive Overview — </w:t>
      </w:r>
      <w:r>
        <w:rPr>
          <w:rFonts w:ascii="Calibri" w:cs="Calibri" w:eastAsia="Calibri" w:hAnsi="Calibri"/>
          <w:sz w:val="21"/>
          <w:szCs w:val="21"/>
        </w:rPr>
        <w:t xml:space="preserve">headline KPIs (revenue, occupancy, ADR, RevPAR) and their trend over the reporting period, for a first-glance read on overall health.</w:t>
      </w:r>
    </w:p>
    <w:p>
      <w:pPr>
        <w:pStyle w:val="ListParagraph"/>
        <w:numPr>
          <w:ilvl w:val="0"/>
          <w:numId w:val="1"/>
        </w:numPr>
        <w:spacing w:after="100" w:line="276"/>
      </w:pPr>
      <w:r>
        <w:rPr>
          <w:rFonts w:ascii="Calibri" w:cs="Calibri" w:eastAsia="Calibri" w:hAnsi="Calibri"/>
          <w:b/>
          <w:bCs/>
          <w:sz w:val="21"/>
          <w:szCs w:val="21"/>
        </w:rPr>
        <w:t xml:space="preserve">Property &amp; City Performance — </w:t>
      </w:r>
      <w:r>
        <w:rPr>
          <w:rFonts w:ascii="Calibri" w:cs="Calibri" w:eastAsia="Calibri" w:hAnsi="Calibri"/>
          <w:sz w:val="21"/>
          <w:szCs w:val="21"/>
        </w:rPr>
        <w:t xml:space="preserve">the same KPIs broken out by city and by individual property, to identify which markets and hotels are leading or lagging.</w:t>
      </w:r>
    </w:p>
    <w:p>
      <w:pPr>
        <w:pStyle w:val="ListParagraph"/>
        <w:numPr>
          <w:ilvl w:val="0"/>
          <w:numId w:val="1"/>
        </w:numPr>
        <w:spacing w:after="100" w:line="276"/>
      </w:pPr>
      <w:r>
        <w:rPr>
          <w:rFonts w:ascii="Calibri" w:cs="Calibri" w:eastAsia="Calibri" w:hAnsi="Calibri"/>
          <w:b/>
          <w:bCs/>
          <w:sz w:val="21"/>
          <w:szCs w:val="21"/>
        </w:rPr>
        <w:t xml:space="preserve">Room &amp; Platform Analysis — </w:t>
      </w:r>
      <w:r>
        <w:rPr>
          <w:rFonts w:ascii="Calibri" w:cs="Calibri" w:eastAsia="Calibri" w:hAnsi="Calibri"/>
          <w:sz w:val="21"/>
          <w:szCs w:val="21"/>
        </w:rPr>
        <w:t xml:space="preserve">booking and revenue mix by room class and by booking platform, to see where demand is concentrated.</w:t>
      </w:r>
    </w:p>
    <w:p>
      <w:pPr>
        <w:pStyle w:val="ListParagraph"/>
        <w:numPr>
          <w:ilvl w:val="0"/>
          <w:numId w:val="1"/>
        </w:numPr>
        <w:spacing w:after="100" w:line="276"/>
      </w:pPr>
      <w:r>
        <w:rPr>
          <w:rFonts w:ascii="Calibri" w:cs="Calibri" w:eastAsia="Calibri" w:hAnsi="Calibri"/>
          <w:b/>
          <w:bCs/>
          <w:sz w:val="21"/>
          <w:szCs w:val="21"/>
        </w:rPr>
        <w:t xml:space="preserve">Weekly Trend &amp; Cancellations — </w:t>
      </w:r>
      <w:r>
        <w:rPr>
          <w:rFonts w:ascii="Calibri" w:cs="Calibri" w:eastAsia="Calibri" w:hAnsi="Calibri"/>
          <w:sz w:val="21"/>
          <w:szCs w:val="21"/>
        </w:rPr>
        <w:t xml:space="preserve">week-over-week movement in the core KPIs alongside cancellation and realization trends, to catch emerging issues early.</w:t>
      </w:r>
    </w:p>
    <w:p>
      <w:pPr>
        <w:spacing w:after="40" w:line="288"/>
      </w:pPr>
      <w:r>
        <w:rPr>
          <w:rFonts w:ascii="Calibri" w:cs="Calibri" w:eastAsia="Calibri" w:hAnsi="Calibri"/>
          <w:b w:val="false"/>
          <w:bCs w:val="false"/>
          <w:i/>
          <w:iCs/>
          <w:color w:val="595959"/>
          <w:sz w:val="19"/>
          <w:szCs w:val="19"/>
        </w:rPr>
        <w:t xml:space="preserve">If the finished file is organized differently, this section is easy to relabel to match the actual page names in the .pbix.</w:t>
      </w:r>
    </w:p>
    <w:p>
      <w:r>
        <w:br w:type="page"/>
      </w:r>
    </w:p>
    <w:p>
      <w:pPr>
        <w:pStyle w:val="Heading1"/>
        <w:pBdr>
          <w:bottom w:val="single" w:color="C9D4DE" w:sz="6" w:space="6"/>
        </w:pBdr>
        <w:spacing w:after="200" w:before="480"/>
      </w:pPr>
      <w:r>
        <w:rPr>
          <w:rFonts w:ascii="Cambria" w:cs="Cambria" w:eastAsia="Cambria" w:hAnsi="Cambria"/>
          <w:b/>
          <w:bCs/>
          <w:color w:val="1F3A5C"/>
          <w:sz w:val="30"/>
          <w:szCs w:val="30"/>
        </w:rPr>
        <w:t xml:space="preserve">6. Key Findings</w:t>
      </w:r>
    </w:p>
    <w:tbl>
      <w:tblPr>
        <w:tblW w:type="dxa" w:w="9350"/>
        <w:tblBorders>
          <w:top w:val="single" w:color="C98A2C" w:sz="6"/>
          <w:left w:val="single" w:color="C98A2C" w:sz="6"/>
          <w:bottom w:val="single" w:color="C98A2C" w:sz="6"/>
          <w:right w:val="single" w:color="C98A2C" w:sz="6"/>
          <w:insideH w:val="single" w:color="auto" w:sz="4"/>
          <w:insideV w:val="single" w:color="auto" w:sz="4"/>
        </w:tblBorders>
      </w:tblPr>
      <w:tblGrid>
        <w:gridCol w:w="9350"/>
      </w:tblGrid>
      <w:tr>
        <w:tc>
          <w:tcPr>
            <w:tcW w:type="dxa" w:w="9350"/>
            <w:shd w:fill="FDF2E3" w:val="clear"/>
            <w:tcMar>
              <w:top w:type="dxa" w:w="160"/>
              <w:left w:type="dxa" w:w="200"/>
              <w:bottom w:type="dxa" w:w="160"/>
              <w:right w:type="dxa" w:w="200"/>
            </w:tcMar>
          </w:tcPr>
          <w:p>
            <w:pPr>
              <w:spacing w:after="0" w:line="276"/>
            </w:pPr>
            <w:r>
              <w:rPr>
                <w:rFonts w:ascii="Calibri" w:cs="Calibri" w:eastAsia="Calibri" w:hAnsi="Calibri"/>
                <w:b/>
                <w:bCs/>
                <w:color w:val="7A4A0F"/>
                <w:sz w:val="20"/>
                <w:szCs w:val="20"/>
              </w:rPr>
              <w:t xml:space="preserve">Note to Chayansh — </w:t>
            </w:r>
            <w:r>
              <w:rPr>
                <w:rFonts w:ascii="Calibri" w:cs="Calibri" w:eastAsia="Calibri" w:hAnsi="Calibri"/>
                <w:i/>
                <w:iCs/>
                <w:color w:val="7A4A0F"/>
                <w:sz w:val="20"/>
                <w:szCs w:val="20"/>
              </w:rPr>
              <w:t xml:space="preserve">the figures in brackets below are placeholders. Swap each one for the corresponding number from the finished Hotel Revenue.pbix dashboard before this report goes to stakeholders — I wasn't able to pull exact figures from GitHub directly (see the message alongside this report for why).</w:t>
            </w:r>
          </w:p>
        </w:tc>
      </w:tr>
    </w:tbl>
    <w:p>
      <w:pPr>
        <w:spacing w:after="200"/>
      </w:pPr>
    </w:p>
    <w:p>
      <w:pPr>
        <w:pStyle w:val="Heading2"/>
        <w:spacing w:after="140" w:before="320"/>
      </w:pPr>
      <w:r>
        <w:rPr>
          <w:rFonts w:ascii="Cambria" w:cs="Cambria" w:eastAsia="Cambria" w:hAnsi="Cambria"/>
          <w:b/>
          <w:bCs/>
          <w:color w:val="2E6199"/>
          <w:sz w:val="24"/>
          <w:szCs w:val="24"/>
        </w:rPr>
        <w:t xml:space="preserve">6.1  Revenue by City &amp; Property</w:t>
      </w:r>
    </w:p>
    <w:p>
      <w:pPr>
        <w:spacing w:after="160" w:line="288"/>
      </w:pPr>
      <w:r>
        <w:rPr>
          <w:rFonts w:ascii="Calibri" w:cs="Calibri" w:eastAsia="Calibri" w:hAnsi="Calibri"/>
          <w:b w:val="false"/>
          <w:bCs w:val="false"/>
          <w:i w:val="false"/>
          <w:iCs w:val="false"/>
          <w:color w:val="222222"/>
          <w:sz w:val="21"/>
          <w:szCs w:val="21"/>
        </w:rPr>
        <w:t xml:space="preserve">Across the four cities in the portfolio, [insert leading city] is the strongest market with total revenue of [insert value], compared with [insert lowest city] at the other end. At the property level, [insert leading property] is the top-performing hotel by revenue at [insert value], while [insert lowest property] trails the group — a gap worth investigating for pricing or demand-generation causes.</w:t>
      </w:r>
    </w:p>
    <w:p>
      <w:pPr>
        <w:pStyle w:val="Heading2"/>
        <w:spacing w:after="140" w:before="320"/>
      </w:pPr>
      <w:r>
        <w:rPr>
          <w:rFonts w:ascii="Cambria" w:cs="Cambria" w:eastAsia="Cambria" w:hAnsi="Cambria"/>
          <w:b/>
          <w:bCs/>
          <w:color w:val="2E6199"/>
          <w:sz w:val="24"/>
          <w:szCs w:val="24"/>
        </w:rPr>
        <w:t xml:space="preserve">6.2  Occupancy &amp; RevPAR</w:t>
      </w:r>
    </w:p>
    <w:p>
      <w:pPr>
        <w:spacing w:after="160" w:line="288"/>
      </w:pPr>
      <w:r>
        <w:rPr>
          <w:rFonts w:ascii="Calibri" w:cs="Calibri" w:eastAsia="Calibri" w:hAnsi="Calibri"/>
          <w:b w:val="false"/>
          <w:bCs w:val="false"/>
          <w:i w:val="false"/>
          <w:iCs w:val="false"/>
          <w:color w:val="222222"/>
          <w:sz w:val="21"/>
          <w:szCs w:val="21"/>
        </w:rPr>
        <w:t xml:space="preserve">Portfolio-wide occupancy currently stands at [insert %]. [Insert property/city] carries the highest occupancy at [insert %], while [insert property/city] is lowest at [insert %]. Read alongside RevPAR, this shows whether high-occupancy properties are converting that demand into revenue efficiently, or under-pricing relative to demand.</w:t>
      </w:r>
    </w:p>
    <w:p>
      <w:pPr>
        <w:pStyle w:val="Heading2"/>
        <w:spacing w:after="140" w:before="320"/>
      </w:pPr>
      <w:r>
        <w:rPr>
          <w:rFonts w:ascii="Cambria" w:cs="Cambria" w:eastAsia="Cambria" w:hAnsi="Cambria"/>
          <w:b/>
          <w:bCs/>
          <w:color w:val="2E6199"/>
          <w:sz w:val="24"/>
          <w:szCs w:val="24"/>
        </w:rPr>
        <w:t xml:space="preserve">6.3  Room-Type Profitability</w:t>
      </w:r>
    </w:p>
    <w:p>
      <w:pPr>
        <w:spacing w:after="160" w:line="288"/>
      </w:pPr>
      <w:r>
        <w:rPr>
          <w:rFonts w:ascii="Calibri" w:cs="Calibri" w:eastAsia="Calibri" w:hAnsi="Calibri"/>
          <w:b w:val="false"/>
          <w:bCs w:val="false"/>
          <w:i w:val="false"/>
          <w:iCs w:val="false"/>
          <w:color w:val="222222"/>
          <w:sz w:val="21"/>
          <w:szCs w:val="21"/>
        </w:rPr>
        <w:t xml:space="preserve">[Insert room class] is the most-booked room category, accounting for [insert %] of bookings, while [insert room class] contributes the most revenue per booking. [Add any further room-mix observation once the figures are in.]</w:t>
      </w:r>
    </w:p>
    <w:p>
      <w:pPr>
        <w:pStyle w:val="Heading2"/>
        <w:spacing w:after="140" w:before="320"/>
      </w:pPr>
      <w:r>
        <w:rPr>
          <w:rFonts w:ascii="Cambria" w:cs="Cambria" w:eastAsia="Cambria" w:hAnsi="Cambria"/>
          <w:b/>
          <w:bCs/>
          <w:color w:val="2E6199"/>
          <w:sz w:val="24"/>
          <w:szCs w:val="24"/>
        </w:rPr>
        <w:t xml:space="preserve">6.4  Booking Platform Performance</w:t>
      </w:r>
    </w:p>
    <w:p>
      <w:pPr>
        <w:spacing w:after="160" w:line="288"/>
      </w:pPr>
      <w:r>
        <w:rPr>
          <w:rFonts w:ascii="Calibri" w:cs="Calibri" w:eastAsia="Calibri" w:hAnsi="Calibri"/>
          <w:b w:val="false"/>
          <w:bCs w:val="false"/>
          <w:i w:val="false"/>
          <w:iCs w:val="false"/>
          <w:color w:val="222222"/>
          <w:sz w:val="21"/>
          <w:szCs w:val="21"/>
        </w:rPr>
        <w:t xml:space="preserve">[Insert platform] drives the largest share of bookings at [insert %], and [insert platform] the largest share of revenue. [Insert platform] shows a disproportionately high cancellation rate relative to its volume, which affects its true value as a channel once realization is accounted for.</w:t>
      </w:r>
    </w:p>
    <w:p>
      <w:pPr>
        <w:pStyle w:val="Heading2"/>
        <w:spacing w:after="140" w:before="320"/>
      </w:pPr>
      <w:r>
        <w:rPr>
          <w:rFonts w:ascii="Cambria" w:cs="Cambria" w:eastAsia="Cambria" w:hAnsi="Cambria"/>
          <w:b/>
          <w:bCs/>
          <w:color w:val="2E6199"/>
          <w:sz w:val="24"/>
          <w:szCs w:val="24"/>
        </w:rPr>
        <w:t xml:space="preserve">6.5  Cancellations &amp; Revenue Leakage</w:t>
      </w:r>
    </w:p>
    <w:p>
      <w:pPr>
        <w:spacing w:after="160" w:line="288"/>
      </w:pPr>
      <w:r>
        <w:rPr>
          <w:rFonts w:ascii="Calibri" w:cs="Calibri" w:eastAsia="Calibri" w:hAnsi="Calibri"/>
          <w:b w:val="false"/>
          <w:bCs w:val="false"/>
          <w:i w:val="false"/>
          <w:iCs w:val="false"/>
          <w:color w:val="222222"/>
          <w:sz w:val="21"/>
          <w:szCs w:val="21"/>
        </w:rPr>
        <w:t xml:space="preserve">The portfolio realizes [insert %] of generated revenue overall (Realization %), meaning [insert %] is lost to cancellations and no-shows. This loss is concentrated in [insert property / category / platform], representing an estimated [insert value] in unrealized revenue over the analysis period.</w:t>
      </w:r>
    </w:p>
    <w:p>
      <w:pPr>
        <w:pStyle w:val="Heading2"/>
        <w:spacing w:after="140" w:before="320"/>
      </w:pPr>
      <w:r>
        <w:rPr>
          <w:rFonts w:ascii="Cambria" w:cs="Cambria" w:eastAsia="Cambria" w:hAnsi="Cambria"/>
          <w:b/>
          <w:bCs/>
          <w:color w:val="2E6199"/>
          <w:sz w:val="24"/>
          <w:szCs w:val="24"/>
        </w:rPr>
        <w:t xml:space="preserve">6.6  Week-over-Week Trend</w:t>
      </w:r>
    </w:p>
    <w:p>
      <w:pPr>
        <w:spacing w:after="160" w:line="288"/>
      </w:pPr>
      <w:r>
        <w:rPr>
          <w:rFonts w:ascii="Calibri" w:cs="Calibri" w:eastAsia="Calibri" w:hAnsi="Calibri"/>
          <w:b w:val="false"/>
          <w:bCs w:val="false"/>
          <w:i w:val="false"/>
          <w:iCs w:val="false"/>
          <w:color w:val="222222"/>
          <w:sz w:val="21"/>
          <w:szCs w:val="21"/>
        </w:rPr>
        <w:t xml:space="preserve">Over the most recent weeks in the dataset, [insert metric] moved by [insert %] week-over-week, [insert direction/interpretation — e.g. “continuing an upward run” or “reversing a two-week decline”].</w:t>
      </w:r>
    </w:p>
    <w:p>
      <w:pPr>
        <w:pStyle w:val="Heading1"/>
        <w:pBdr>
          <w:bottom w:val="single" w:color="C9D4DE" w:sz="6" w:space="6"/>
        </w:pBdr>
        <w:spacing w:after="200" w:before="480"/>
      </w:pPr>
      <w:r>
        <w:rPr>
          <w:rFonts w:ascii="Cambria" w:cs="Cambria" w:eastAsia="Cambria" w:hAnsi="Cambria"/>
          <w:b/>
          <w:bCs/>
          <w:color w:val="1F3A5C"/>
          <w:sz w:val="30"/>
          <w:szCs w:val="30"/>
        </w:rPr>
        <w:t xml:space="preserve">7. Recommendations</w:t>
      </w:r>
    </w:p>
    <w:p>
      <w:pPr>
        <w:spacing w:after="160" w:line="288"/>
      </w:pPr>
      <w:r>
        <w:rPr>
          <w:rFonts w:ascii="Calibri" w:cs="Calibri" w:eastAsia="Calibri" w:hAnsi="Calibri"/>
          <w:b w:val="false"/>
          <w:bCs w:val="false"/>
          <w:i w:val="false"/>
          <w:iCs w:val="false"/>
          <w:color w:val="222222"/>
          <w:sz w:val="21"/>
          <w:szCs w:val="21"/>
        </w:rPr>
        <w:t xml:space="preserve">These are written as decision rules that follow directly from Section 6, ready to confirm or adjust once that section is finalized with real figures:</w:t>
      </w:r>
    </w:p>
    <w:p>
      <w:pPr>
        <w:pStyle w:val="ListParagraph"/>
        <w:numPr>
          <w:ilvl w:val="0"/>
          <w:numId w:val="1"/>
        </w:numPr>
        <w:spacing w:after="100" w:line="276"/>
      </w:pPr>
      <w:r>
        <w:rPr>
          <w:rFonts w:ascii="Calibri" w:cs="Calibri" w:eastAsia="Calibri" w:hAnsi="Calibri"/>
          <w:color w:val="222222"/>
          <w:sz w:val="21"/>
          <w:szCs w:val="21"/>
        </w:rPr>
        <w:t xml:space="preserve">If one booking platform accounts for a disproportionate share of revenue: prioritize deepening that commercial relationship (rate parity, marketing co-op, preferred placement) before investing further in lower-yield channels.</w:t>
      </w:r>
    </w:p>
    <w:p>
      <w:pPr>
        <w:pStyle w:val="ListParagraph"/>
        <w:numPr>
          <w:ilvl w:val="0"/>
          <w:numId w:val="1"/>
        </w:numPr>
        <w:spacing w:after="100" w:line="276"/>
      </w:pPr>
      <w:r>
        <w:rPr>
          <w:rFonts w:ascii="Calibri" w:cs="Calibri" w:eastAsia="Calibri" w:hAnsi="Calibri"/>
          <w:color w:val="222222"/>
          <w:sz w:val="21"/>
          <w:szCs w:val="21"/>
        </w:rPr>
        <w:t xml:space="preserve">If a specific city or property shows high occupancy but comparatively low ADR/RevPAR: test a measured rate increase or dynamic pricing there, since demand appears strong enough to absorb it.</w:t>
      </w:r>
    </w:p>
    <w:p>
      <w:pPr>
        <w:pStyle w:val="ListParagraph"/>
        <w:numPr>
          <w:ilvl w:val="0"/>
          <w:numId w:val="1"/>
        </w:numPr>
        <w:spacing w:after="100" w:line="276"/>
      </w:pPr>
      <w:r>
        <w:rPr>
          <w:rFonts w:ascii="Calibri" w:cs="Calibri" w:eastAsia="Calibri" w:hAnsi="Calibri"/>
          <w:color w:val="222222"/>
          <w:sz w:val="21"/>
          <w:szCs w:val="21"/>
        </w:rPr>
        <w:t xml:space="preserve">If cancellations are concentrated in a specific room category, platform, or property: review the cancellation policy and deposit requirements for that segment specifically, rather than portfolio-wide.</w:t>
      </w:r>
    </w:p>
    <w:p>
      <w:pPr>
        <w:pStyle w:val="ListParagraph"/>
        <w:numPr>
          <w:ilvl w:val="0"/>
          <w:numId w:val="1"/>
        </w:numPr>
        <w:spacing w:after="100" w:line="276"/>
      </w:pPr>
      <w:r>
        <w:rPr>
          <w:rFonts w:ascii="Calibri" w:cs="Calibri" w:eastAsia="Calibri" w:hAnsi="Calibri"/>
          <w:color w:val="222222"/>
          <w:sz w:val="21"/>
          <w:szCs w:val="21"/>
        </w:rPr>
        <w:t xml:space="preserve">If one or two properties consistently lag the portfolio on revenue and occupancy: commission a focused review of local pricing, marketing spend, and guest ratings for those properties before the next planning cycle.</w:t>
      </w:r>
    </w:p>
    <w:p>
      <w:pPr>
        <w:pStyle w:val="ListParagraph"/>
        <w:numPr>
          <w:ilvl w:val="0"/>
          <w:numId w:val="1"/>
        </w:numPr>
        <w:spacing w:after="100" w:line="276"/>
      </w:pPr>
      <w:r>
        <w:rPr>
          <w:rFonts w:ascii="Calibri" w:cs="Calibri" w:eastAsia="Calibri" w:hAnsi="Calibri"/>
          <w:color w:val="222222"/>
          <w:sz w:val="21"/>
          <w:szCs w:val="21"/>
        </w:rPr>
        <w:t xml:space="preserve">Re-run this KPI set on a recurring basis (e.g., monthly) so the week-over-week view catches emerging issues while they are still small.</w:t>
      </w:r>
    </w:p>
    <w:p>
      <w:pPr>
        <w:pStyle w:val="Heading1"/>
        <w:pBdr>
          <w:bottom w:val="single" w:color="C9D4DE" w:sz="6" w:space="6"/>
        </w:pBdr>
        <w:spacing w:after="200" w:before="480"/>
      </w:pPr>
      <w:r>
        <w:rPr>
          <w:rFonts w:ascii="Cambria" w:cs="Cambria" w:eastAsia="Cambria" w:hAnsi="Cambria"/>
          <w:b/>
          <w:bCs/>
          <w:color w:val="1F3A5C"/>
          <w:sz w:val="30"/>
          <w:szCs w:val="30"/>
        </w:rPr>
        <w:t xml:space="preserve">8. Project Status &amp; Roadmap to Completion</w:t>
      </w:r>
    </w:p>
    <w:p>
      <w:pPr>
        <w:pStyle w:val="Heading2"/>
        <w:spacing w:after="140" w:before="320"/>
      </w:pPr>
      <w:r>
        <w:rPr>
          <w:rFonts w:ascii="Cambria" w:cs="Cambria" w:eastAsia="Cambria" w:hAnsi="Cambria"/>
          <w:b/>
          <w:bCs/>
          <w:color w:val="2E6199"/>
          <w:sz w:val="24"/>
          <w:szCs w:val="24"/>
        </w:rPr>
        <w:t xml:space="preserve">What's done</w:t>
      </w:r>
    </w:p>
    <w:p>
      <w:pPr>
        <w:pStyle w:val="ListParagraph"/>
        <w:numPr>
          <w:ilvl w:val="0"/>
          <w:numId w:val="1"/>
        </w:numPr>
        <w:spacing w:after="100" w:line="276"/>
      </w:pPr>
      <w:r>
        <w:rPr>
          <w:rFonts w:ascii="Calibri" w:cs="Calibri" w:eastAsia="Calibri" w:hAnsi="Calibri"/>
          <w:color w:val="222222"/>
          <w:sz w:val="21"/>
          <w:szCs w:val="21"/>
        </w:rPr>
        <w:t xml:space="preserve">Source data reviewed, cleaned, and organized into a star-schema data model (2 fact tables, 3 dimension tables)</w:t>
      </w:r>
    </w:p>
    <w:p>
      <w:pPr>
        <w:pStyle w:val="ListParagraph"/>
        <w:numPr>
          <w:ilvl w:val="0"/>
          <w:numId w:val="1"/>
        </w:numPr>
        <w:spacing w:after="100" w:line="276"/>
      </w:pPr>
      <w:r>
        <w:rPr>
          <w:rFonts w:ascii="Calibri" w:cs="Calibri" w:eastAsia="Calibri" w:hAnsi="Calibri"/>
          <w:color w:val="222222"/>
          <w:sz w:val="21"/>
          <w:szCs w:val="21"/>
        </w:rPr>
        <w:t xml:space="preserve">KPI framework defined against the stakeholder-supplied metrics brief</w:t>
      </w:r>
    </w:p>
    <w:p>
      <w:pPr>
        <w:pStyle w:val="ListParagraph"/>
        <w:numPr>
          <w:ilvl w:val="0"/>
          <w:numId w:val="1"/>
        </w:numPr>
        <w:spacing w:after="100" w:line="276"/>
      </w:pPr>
      <w:r>
        <w:rPr>
          <w:rFonts w:ascii="Calibri" w:cs="Calibri" w:eastAsia="Calibri" w:hAnsi="Calibri"/>
          <w:color w:val="222222"/>
          <w:sz w:val="21"/>
          <w:szCs w:val="21"/>
        </w:rPr>
        <w:t xml:space="preserve">Power BI data model, DAX measures, and dashboard report pages built (Hotel Revenue.pbix)</w:t>
      </w:r>
    </w:p>
    <w:p>
      <w:pPr>
        <w:pStyle w:val="Heading2"/>
        <w:spacing w:after="140" w:before="320"/>
      </w:pPr>
      <w:r>
        <w:rPr>
          <w:rFonts w:ascii="Cambria" w:cs="Cambria" w:eastAsia="Cambria" w:hAnsi="Cambria"/>
          <w:b/>
          <w:bCs/>
          <w:color w:val="2E6199"/>
          <w:sz w:val="24"/>
          <w:szCs w:val="24"/>
        </w:rPr>
        <w:t xml:space="preserve">What's remaining</w:t>
      </w:r>
    </w:p>
    <w:p>
      <w:pPr>
        <w:pStyle w:val="ListParagraph"/>
        <w:numPr>
          <w:ilvl w:val="0"/>
          <w:numId w:val="1"/>
        </w:numPr>
        <w:spacing w:after="100" w:line="276"/>
      </w:pPr>
      <w:r>
        <w:rPr>
          <w:rFonts w:ascii="Calibri" w:cs="Calibri" w:eastAsia="Calibri" w:hAnsi="Calibri"/>
          <w:color w:val="222222"/>
          <w:sz w:val="21"/>
          <w:szCs w:val="21"/>
        </w:rPr>
        <w:t xml:space="preserve">Validate the dashboard's calculated figures against the source data and the original stakeholder mock-up</w:t>
      </w:r>
    </w:p>
    <w:p>
      <w:pPr>
        <w:pStyle w:val="ListParagraph"/>
        <w:numPr>
          <w:ilvl w:val="0"/>
          <w:numId w:val="1"/>
        </w:numPr>
        <w:spacing w:after="100" w:line="276"/>
      </w:pPr>
      <w:r>
        <w:rPr>
          <w:rFonts w:ascii="Calibri" w:cs="Calibri" w:eastAsia="Calibri" w:hAnsi="Calibri"/>
          <w:color w:val="222222"/>
          <w:sz w:val="21"/>
          <w:szCs w:val="21"/>
        </w:rPr>
        <w:t xml:space="preserve">Populate Section 6 of this report with the final, verified figures</w:t>
      </w:r>
    </w:p>
    <w:p>
      <w:pPr>
        <w:pStyle w:val="ListParagraph"/>
        <w:numPr>
          <w:ilvl w:val="0"/>
          <w:numId w:val="1"/>
        </w:numPr>
        <w:spacing w:after="100" w:line="276"/>
      </w:pPr>
      <w:r>
        <w:rPr>
          <w:rFonts w:ascii="Calibri" w:cs="Calibri" w:eastAsia="Calibri" w:hAnsi="Calibri"/>
          <w:color w:val="222222"/>
          <w:sz w:val="21"/>
          <w:szCs w:val="21"/>
        </w:rPr>
        <w:t xml:space="preserve">Walk stakeholders through the dashboard and capture feedback</w:t>
      </w:r>
    </w:p>
    <w:p>
      <w:pPr>
        <w:pStyle w:val="ListParagraph"/>
        <w:numPr>
          <w:ilvl w:val="0"/>
          <w:numId w:val="1"/>
        </w:numPr>
        <w:spacing w:after="100" w:line="276"/>
      </w:pPr>
      <w:r>
        <w:rPr>
          <w:rFonts w:ascii="Calibri" w:cs="Calibri" w:eastAsia="Calibri" w:hAnsi="Calibri"/>
          <w:color w:val="222222"/>
          <w:sz w:val="21"/>
          <w:szCs w:val="21"/>
        </w:rPr>
        <w:t xml:space="preserve">Incorporate any requested changes to visuals, metrics, or layout</w:t>
      </w:r>
    </w:p>
    <w:p>
      <w:pPr>
        <w:pStyle w:val="ListParagraph"/>
        <w:numPr>
          <w:ilvl w:val="0"/>
          <w:numId w:val="1"/>
        </w:numPr>
        <w:spacing w:after="100" w:line="276"/>
      </w:pPr>
      <w:r>
        <w:rPr>
          <w:rFonts w:ascii="Calibri" w:cs="Calibri" w:eastAsia="Calibri" w:hAnsi="Calibri"/>
          <w:color w:val="222222"/>
          <w:sz w:val="21"/>
          <w:szCs w:val="21"/>
        </w:rPr>
        <w:t xml:space="preserve">Publish the finished dashboard (Power BI Service, scheduled refresh, or shared file) and complete the repository README with a project summary</w:t>
      </w:r>
    </w:p>
    <w:p>
      <w:pPr>
        <w:pStyle w:val="Heading2"/>
        <w:spacing w:after="140" w:before="320"/>
      </w:pPr>
      <w:r>
        <w:rPr>
          <w:rFonts w:ascii="Cambria" w:cs="Cambria" w:eastAsia="Cambria" w:hAnsi="Cambria"/>
          <w:b/>
          <w:bCs/>
          <w:color w:val="2E6199"/>
          <w:sz w:val="24"/>
          <w:szCs w:val="24"/>
        </w:rPr>
        <w:t xml:space="preserve">Suggested next step</w:t>
      </w:r>
    </w:p>
    <w:p>
      <w:pPr>
        <w:spacing w:after="160" w:line="288"/>
      </w:pPr>
      <w:r>
        <w:rPr>
          <w:rFonts w:ascii="Calibri" w:cs="Calibri" w:eastAsia="Calibri" w:hAnsi="Calibri"/>
          <w:b w:val="false"/>
          <w:bCs w:val="false"/>
          <w:i w:val="false"/>
          <w:iCs w:val="false"/>
          <w:color w:val="222222"/>
          <w:sz w:val="21"/>
          <w:szCs w:val="21"/>
        </w:rPr>
        <w:t xml:space="preserve">The most direct path to closing this out is a short working session against the live .pbix file to pull the final numbers into Section 6, followed by scheduling the stakeholder walkthrough.</w:t>
      </w:r>
    </w:p>
    <w:p>
      <w:pPr>
        <w:pStyle w:val="Heading1"/>
        <w:pBdr>
          <w:bottom w:val="single" w:color="C9D4DE" w:sz="6" w:space="6"/>
        </w:pBdr>
        <w:spacing w:after="200" w:before="480"/>
      </w:pPr>
      <w:r>
        <w:rPr>
          <w:rFonts w:ascii="Cambria" w:cs="Cambria" w:eastAsia="Cambria" w:hAnsi="Cambria"/>
          <w:b/>
          <w:bCs/>
          <w:color w:val="1F3A5C"/>
          <w:sz w:val="30"/>
          <w:szCs w:val="30"/>
        </w:rPr>
        <w:t xml:space="preserve">Appendix A: Data Dictionary</w:t>
      </w:r>
    </w:p>
    <w:p>
      <w:pPr>
        <w:spacing w:after="120" w:line="288"/>
      </w:pPr>
      <w:r>
        <w:rPr>
          <w:rFonts w:ascii="Calibri" w:cs="Calibri" w:eastAsia="Calibri" w:hAnsi="Calibri"/>
          <w:b w:val="false"/>
          <w:bCs w:val="false"/>
          <w:i w:val="false"/>
          <w:iCs w:val="false"/>
          <w:color w:val="222222"/>
          <w:sz w:val="21"/>
          <w:szCs w:val="21"/>
        </w:rPr>
        <w:t xml:space="preserve">Column-level detail for each table, for technical reference:</w:t>
      </w:r>
    </w:p>
    <w:tbl>
      <w:tblPr>
        <w:tblW w:type="dxa" w:w="9350"/>
        <w:tblBorders>
          <w:top w:val="single" w:color="C9D4DE" w:sz="4"/>
          <w:left w:val="single" w:color="C9D4DE" w:sz="4"/>
          <w:bottom w:val="single" w:color="C9D4DE" w:sz="4"/>
          <w:right w:val="single" w:color="C9D4DE" w:sz="4"/>
          <w:insideH w:val="single" w:color="C9D4DE" w:sz="4"/>
          <w:insideV w:val="single" w:color="C9D4DE" w:sz="4"/>
        </w:tblBorders>
      </w:tblPr>
      <w:tblGrid>
        <w:gridCol w:w="2600"/>
        <w:gridCol w:w="6750"/>
      </w:tblGrid>
      <w:tr>
        <w:trPr>
          <w:tblHeader/>
        </w:trPr>
        <w:tc>
          <w:tcPr>
            <w:tcW w:type="dxa" w:w="2600"/>
            <w:shd w:fill="1F3A5C"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19"/>
                <w:szCs w:val="19"/>
              </w:rPr>
              <w:t xml:space="preserve">Table</w:t>
            </w:r>
          </w:p>
        </w:tc>
        <w:tc>
          <w:tcPr>
            <w:tcW w:type="dxa" w:w="6750"/>
            <w:shd w:fill="1F3A5C"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19"/>
                <w:szCs w:val="19"/>
              </w:rPr>
              <w:t xml:space="preserve">Key Columns</w:t>
            </w:r>
          </w:p>
        </w:tc>
      </w:tr>
      <w:tr>
        <w:tc>
          <w:tcPr>
            <w:tcW w:type="dxa" w:w="26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fact_bookings.csv</w:t>
            </w:r>
          </w:p>
        </w:tc>
        <w:tc>
          <w:tcPr>
            <w:tcW w:type="dxa" w:w="675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booking_id, property_id, booking_date, check_in_date, checkout_date, no_of_guests, room_category, booking_platform, ratings_given, booking_status, revenue_generated, revenue_realized</w:t>
            </w:r>
          </w:p>
        </w:tc>
      </w:tr>
      <w:tr>
        <w:tc>
          <w:tcPr>
            <w:tcW w:type="dxa" w:w="260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fact_aggregated_bookings.csv</w:t>
            </w:r>
          </w:p>
        </w:tc>
        <w:tc>
          <w:tcPr>
            <w:tcW w:type="dxa" w:w="675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property_id, check_in_date, room_category, successful_bookings, capacity</w:t>
            </w:r>
          </w:p>
        </w:tc>
      </w:tr>
      <w:tr>
        <w:tc>
          <w:tcPr>
            <w:tcW w:type="dxa" w:w="26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dim_hotels.csv</w:t>
            </w:r>
          </w:p>
        </w:tc>
        <w:tc>
          <w:tcPr>
            <w:tcW w:type="dxa" w:w="675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property_id, property_name, category, city</w:t>
            </w:r>
          </w:p>
        </w:tc>
      </w:tr>
      <w:tr>
        <w:tc>
          <w:tcPr>
            <w:tcW w:type="dxa" w:w="260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dim_rooms.csv</w:t>
            </w:r>
          </w:p>
        </w:tc>
        <w:tc>
          <w:tcPr>
            <w:tcW w:type="dxa" w:w="6750"/>
            <w:shd w:fill="EAF0F6"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room_id, room_class</w:t>
            </w:r>
          </w:p>
        </w:tc>
      </w:tr>
      <w:tr>
        <w:tc>
          <w:tcPr>
            <w:tcW w:type="dxa" w:w="260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dim_date.csv</w:t>
            </w:r>
          </w:p>
        </w:tc>
        <w:tc>
          <w:tcPr>
            <w:tcW w:type="dxa" w:w="6750"/>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222222"/>
                <w:sz w:val="19"/>
                <w:szCs w:val="19"/>
              </w:rPr>
              <w:t xml:space="preserve">date, mmm_yy, week_no, day_type</w:t>
            </w:r>
          </w:p>
        </w:tc>
      </w:tr>
    </w:tbl>
    <w:p>
      <w:pPr>
        <w:spacing w:after="0" w:line="288"/>
      </w:pPr>
      <w:r>
        <w:rPr>
          <w:rFonts w:ascii="Calibri" w:cs="Calibri" w:eastAsia="Calibri" w:hAnsi="Calibri"/>
          <w:b w:val="false"/>
          <w:bCs w:val="false"/>
          <w:i/>
          <w:iCs/>
          <w:color w:val="595959"/>
          <w:sz w:val="18"/>
          <w:szCs w:val="18"/>
        </w:rPr>
        <w:t xml:space="preserve">Column names reflect the standard structure for this style of hospitality-booking dataset — confirm exact names against the CSVs if this appendix is circulated as a technical annex.</w:t>
      </w:r>
    </w:p>
    <w:sectPr>
      <w:headerReference w:type="default" r:id="rId7"/>
      <w:footerReference w:type="default" r:id="rId8"/>
      <w:pgSz w:w="11906" w:h="16838" w:orient="portrait"/>
      <w:pgMar w:top="1080" w:right="1080" w:bottom="1080" w:left="108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DE" w:sz="4" w:space="4"/>
      </w:pBdr>
      <w:tabs>
        <w:tab w:val="right" w:pos="9026"/>
      </w:tabs>
      <w:spacing w:after="0"/>
    </w:pPr>
    <w:r>
      <w:rPr>
        <w:rFonts w:ascii="Calibri" w:cs="Calibri" w:eastAsia="Calibri" w:hAnsi="Calibri"/>
        <w:color w:val="595959"/>
        <w:sz w:val="16"/>
        <w:szCs w:val="16"/>
      </w:rPr>
      <w:t xml:space="preserve">Hotel Revenue Analysis</w:t>
    </w:r>
    <w:r>
      <w:rPr>
        <w:rFonts w:ascii="Calibri" w:cs="Calibri" w:eastAsia="Calibri" w:hAnsi="Calibri"/>
      </w:rPr>
      <w:t xml:space="preserve">	</w:t>
    </w:r>
    <w:r>
      <w:rPr>
        <w:rFonts w:ascii="Calibri" w:cs="Calibri" w:eastAsia="Calibri" w:hAnsi="Calibri"/>
        <w:i/>
        <w:iCs/>
        <w:color w:val="595959"/>
        <w:sz w:val="16"/>
        <w:szCs w:val="16"/>
      </w:rPr>
      <w:t xml:space="preserve">Stakeholder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2026-07-07T20:24:54.412Z</dcterms:created>
  <dcterms:modified xsi:type="dcterms:W3CDTF">2026-07-07T20:24:54.413Z</dcterms:modified>
</cp:coreProperties>
</file>

<file path=docProps/custom.xml><?xml version="1.0" encoding="utf-8"?>
<Properties xmlns="http://schemas.openxmlformats.org/officeDocument/2006/custom-properties" xmlns:vt="http://schemas.openxmlformats.org/officeDocument/2006/docPropsVTypes"/>
</file>