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6633" w:val="clear"/>
        <w:spacing w:before="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ENCG Settat — Université Hassan 1er</w:t>
      </w:r>
    </w:p>
    <w:p>
      <w:pPr>
        <w:shd w:fill="006633" w:val="clear"/>
        <w:spacing w:before="0" w:after="200"/>
        <w:jc w:val="center"/>
      </w:pPr>
      <w:r>
        <w:rPr>
          <w:rFonts w:ascii="Arial" w:cs="Arial" w:eastAsia="Arial" w:hAnsi="Arial"/>
          <w:color w:val="D4A017"/>
          <w:sz w:val="18"/>
          <w:szCs w:val="18"/>
        </w:rPr>
        <w:t xml:space="preserve">École Nationale de Commerce et de Gestion</w:t>
      </w:r>
    </w:p>
    <w:p>
      <w:pPr>
        <w:spacing w:before="400" w:after="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633"/>
          <w:sz w:val="52"/>
          <w:szCs w:val="52"/>
        </w:rPr>
        <w:t xml:space="preserve">Chaymaa El Mouini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D4A017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E22"/>
          <w:sz w:val="44"/>
          <w:szCs w:val="44"/>
        </w:rPr>
        <w:t xml:space="preserve">☕  COMPTE RENDU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633"/>
          <w:sz w:val="30"/>
          <w:szCs w:val="30"/>
        </w:rPr>
        <w:t xml:space="preserve">Analyse des Ventes — Coffee Sales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A7A65"/>
          <w:sz w:val="24"/>
          <w:szCs w:val="24"/>
        </w:rPr>
        <w:t xml:space="preserve">Mars 2024 – Mars 2025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33"/>
                <w:sz w:val="18"/>
                <w:szCs w:val="18"/>
              </w:rPr>
              <w:t xml:space="preserve">Auteur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2"/>
                <w:sz w:val="18"/>
                <w:szCs w:val="18"/>
              </w:rPr>
              <w:t xml:space="preserve">Chaymaa El Mouini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33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2"/>
                <w:sz w:val="18"/>
                <w:szCs w:val="18"/>
              </w:rPr>
              <w:t xml:space="preserve">Mars 2026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33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2"/>
                <w:sz w:val="18"/>
                <w:szCs w:val="18"/>
              </w:rPr>
              <w:t xml:space="preserve">Coffe_Sales_Data.xlsx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33"/>
                <w:sz w:val="18"/>
                <w:szCs w:val="18"/>
              </w:rPr>
              <w:t xml:space="preserve">Établissement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2"/>
                <w:sz w:val="18"/>
                <w:szCs w:val="18"/>
              </w:rPr>
              <w:t xml:space="preserve">ENCG Settat</w:t>
            </w:r>
          </w:p>
        </w:tc>
      </w:tr>
    </w:tbl>
    <w:p>
      <w:pPr>
        <w:pageBreakBefore/>
      </w:pPr>
    </w:p>
    <w:p>
      <w:pPr>
        <w:shd w:fill="006633" w:val="clear"/>
        <w:spacing w:before="28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Contexte &amp; Objectifs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Ce compte rendu présente une analyse complète des données de ventes d'un établissement de café sur une période de 13 mois (mars 2024 à mars 2025). L'objectif est d'identifier les tendances de consommation, les produits les plus performants, les pics d'activité temporels et les leviers d'optimisation commerciale.</w:t>
      </w:r>
    </w:p>
    <w:p>
      <w:pPr>
        <w:spacing w:before="80" w:after="80"/>
      </w:pP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A2E22"/>
          <w:sz w:val="20"/>
          <w:szCs w:val="20"/>
        </w:rPr>
        <w:t xml:space="preserve">Source des données : Coffe_Sales_Data.xlsx — 3 547 transactions enregistrées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Outils utilisés : Python (pandas), Excel (openpyxl), Dashboard HTML (Chart.js)</w:t>
      </w:r>
    </w:p>
    <w:p>
      <w:pPr>
        <w:shd w:fill="006633" w:val="clear"/>
        <w:spacing w:before="28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Indicateurs Clés de Performance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7A65"/>
                <w:sz w:val="16"/>
                <w:szCs w:val="16"/>
              </w:rPr>
              <w:t xml:space="preserve">CA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33"/>
                <w:sz w:val="28"/>
                <w:szCs w:val="28"/>
              </w:rPr>
              <w:t xml:space="preserve">112 246 €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7A65"/>
                <w:sz w:val="16"/>
                <w:szCs w:val="16"/>
              </w:rPr>
              <w:t xml:space="preserve">Transactions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33"/>
                <w:sz w:val="28"/>
                <w:szCs w:val="28"/>
              </w:rPr>
              <w:t xml:space="preserve">3 547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7A65"/>
                <w:sz w:val="16"/>
                <w:szCs w:val="16"/>
              </w:rPr>
              <w:t xml:space="preserve">Panier Moyen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33"/>
                <w:sz w:val="28"/>
                <w:szCs w:val="28"/>
              </w:rPr>
              <w:t xml:space="preserve">31,65 €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7A65"/>
                <w:sz w:val="16"/>
                <w:szCs w:val="16"/>
              </w:rPr>
              <w:t xml:space="preserve">Top Produit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Latte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7A65"/>
                <w:sz w:val="16"/>
                <w:szCs w:val="16"/>
              </w:rPr>
              <w:t xml:space="preserve">Meilleur Mois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Mars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7A65"/>
                <w:sz w:val="16"/>
                <w:szCs w:val="16"/>
              </w:rPr>
              <w:t xml:space="preserve">Pic Horaire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10h00</w:t>
            </w:r>
          </w:p>
        </w:tc>
      </w:tr>
    </w:tbl>
    <w:p>
      <w:pPr>
        <w:spacing w:before="120"/>
      </w:pP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5A7A65"/>
          <w:sz w:val="20"/>
          <w:szCs w:val="20"/>
        </w:rPr>
        <w:t xml:space="preserve">100 % des transactions sont réglées par carte bancaire.</w:t>
      </w:r>
    </w:p>
    <w:p>
      <w:pPr>
        <w:shd w:fill="006633" w:val="clear"/>
        <w:spacing w:before="28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Analyse des Ventes par Produit</w:t>
      </w: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3.1 Classement par Chiffre d'Affaires</w:t>
      </w:r>
    </w:p>
    <w:p>
      <w:pPr>
        <w:spacing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1300"/>
        <w:gridCol w:w="1500"/>
        <w:gridCol w:w="120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Ventes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 (€)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Moy. (€)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CA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🥇 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Latte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757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26 875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35,50 €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23,9 %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🥈 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Americano with Milk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809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24 751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30,60 €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22,0 %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🥉 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486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17 439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35,88 €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15,5 %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Americano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564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14 650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25,98 €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13,0 %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Hot Chocolate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276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9 933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35,99 €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8,8 %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Cocoa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239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8 521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35,65 €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7,6 %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Cortado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287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7 385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25,73 €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6,6 %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Espresso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129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2 690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20,85 €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2,4 %</w:t>
            </w:r>
          </w:p>
        </w:tc>
      </w:tr>
    </w:tbl>
    <w:p>
      <w:pPr>
        <w:spacing w:before="120"/>
      </w:pP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3.2 Observations Clés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Le Latte et l'Americano with Milk représentent à eux seuls 45,9 % du chiffre d'affaires total.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L'Americano with Milk est le produit le plus vendu en volume (809 unités) mais deuxième en CA, en raison d'un prix moyen inférieur.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Les produits à base de lait chaud (Latte, Cappuccino, Hot Chocolate, Cocoa) concentrent 55,8 % du 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L'Espresso est le produit le moins performant : seulement 129 ventes et un prix moyen de 20,85 €.</w:t>
      </w:r>
    </w:p>
    <w:p>
      <w:pPr>
        <w:shd w:fill="006633" w:val="clear"/>
        <w:spacing w:before="28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Analyse Temporelle</w:t>
      </w: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4.1 Évolution Mensuelle du CA</w:t>
      </w:r>
    </w:p>
    <w:p>
      <w:pPr>
        <w:spacing w:before="8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7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 (€)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CA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Janvier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6 399 €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5,7 %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Février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423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13 215 €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11,8 %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Mars ⭐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494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15 892 €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14,2 %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Avril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168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5 720 €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5,1 %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Mai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241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8 164 €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7,3 %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Juin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223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7 618 €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6,8 %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Juillet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237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6 916 €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6,2 %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Août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272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7 614 €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6,8 %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Septembre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344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9 989 €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8,9 %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Octobre ⭐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426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13 891 €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12,4 %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Novembre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259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8 591 €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7,7 %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Décembre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259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8 238 €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7,3 %</w:t>
            </w:r>
          </w:p>
        </w:tc>
      </w:tr>
    </w:tbl>
    <w:p>
      <w:pPr>
        <w:spacing w:before="120"/>
      </w:pP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Deux pics majeurs sont identifiés : mars (début de printemps) et octobre (rentrée/automne). Le mois d'avril enregistre la performance la plus faible (-64 % vs mars), potentiellement lié aux vacances scolaires.</w:t>
      </w:r>
    </w:p>
    <w:p>
      <w:pPr>
        <w:spacing w:before="120"/>
      </w:pP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4.2 Performance par Jour de la Semaine</w:t>
      </w:r>
    </w:p>
    <w:p>
      <w:pPr>
        <w:spacing w:before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66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 (€)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Mardi 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572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18 168 €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Lundi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544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17 363 €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531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16 803 €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Jeudi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510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16 091 €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Mercredi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15 750 €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Samedi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465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14 734 €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2"/>
                <w:sz w:val="18"/>
                <w:szCs w:val="18"/>
              </w:rPr>
              <w:t xml:space="preserve">Dimanche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425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8"/>
                <w:szCs w:val="18"/>
              </w:rPr>
              <w:t xml:space="preserve">13 336 €</w:t>
            </w:r>
          </w:p>
        </w:tc>
      </w:tr>
    </w:tbl>
    <w:p>
      <w:pPr>
        <w:spacing w:before="120"/>
      </w:pP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La semaine de travail (lundi–vendredi) génère 75,5 % du CA total. Le mardi est le jour le plus rentable, avec un écart de +36 % par rapport au dimanche.</w:t>
      </w:r>
    </w:p>
    <w:p>
      <w:pPr>
        <w:spacing w:before="120"/>
      </w:pP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4.3 Distribution Horaire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Le pic principal se situe à 10h00 (10 199 € cumulés). La tranche 16h00 constitue le second pic (9 032 €). L'activité reste soutenue jusqu'à 22h00, révélant une clientèle nocturne non négligeable.</w:t>
      </w:r>
    </w:p>
    <w:p>
      <w:pPr>
        <w:shd w:fill="006633" w:val="clear"/>
        <w:spacing w:before="28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Diagnostic &amp; Recommandations</w:t>
      </w: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5.1 Points Forts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Diversité de l'offre : 8 produits couvrant différents segments (cafés, chocolats, boissons chaudes).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Présence active sur l'ensemble des plages horaires (6h–22h), 7 jours sur 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Produits stars solides : Latte et Americano with Milk assurent une base de CA 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Mois de mars exceptionnel : meilleure performance de la période avec 494 transactions.</w:t>
      </w:r>
    </w:p>
    <w:p>
      <w:pPr>
        <w:spacing w:before="120"/>
      </w:pP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5.2 Points de Vigilance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Dépendance aux 2 produits leaders : Latte + Americano with Milk = 45,9 % du 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Creux d'avril brutal : -64 % par rapport à mars, à anticiper avec des offres saisonnières.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Espresso sous-performant : 129 ventes seulement sur 13 mois — repositionnement nécessaire.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Week-end peu exploité : le dimanche représente seulement 11,9 % du CA hebdomadaire.</w:t>
      </w:r>
    </w:p>
    <w:p>
      <w:pPr>
        <w:spacing w:before="120"/>
      </w:pPr>
    </w:p>
    <w:p>
      <w:pPr>
        <w:pBdr>
          <w:bottom w:val="single" w:color="006633" w:sz="3" w:space="1"/>
        </w:pBdr>
        <w:spacing w:before="200" w:after="8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5.3 Recommandations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Valoriser les produits à forte marge (Latte, Cappuccino ~35 €) plutôt que l'Americano (25 €).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Lancer des offres promotionnelles printanières dès fin mars pour limiter la baisse d'avril.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Créer des offres week-end dédiées (brunch, formules duo) pour combler l'écart avec la semaine.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Retravailler la visibilité de l'Espresso en caisse ou proposer un format « shot express 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Renforcer les effectifs aux heures 10h et 16h pour maximiser le CA pendant les pics.</w:t>
      </w:r>
    </w:p>
    <w:p>
      <w:pPr>
        <w:shd w:fill="006633" w:val="clear"/>
        <w:spacing w:before="28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Conclusion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Sur la période mars 2024 – mars 2025, l'établissement affiche une performance commerciale solide avec 112 246 € de CA pour 3 547 transactions. La structure de l'offre est bien établie autour de produits phares (Latte, Americano with Milk, Cappuccino), et la clientèle est fidèle et répartie sur toute la journée.</w:t>
      </w:r>
    </w:p>
    <w:p>
      <w:pPr>
        <w:spacing w:before="80"/>
      </w:pP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2E22"/>
          <w:sz w:val="20"/>
          <w:szCs w:val="20"/>
        </w:rPr>
        <w:t xml:space="preserve">Les principaux axes d'amélioration portent sur la gestion des creux saisonniers (avril, janvier), la valorisation du week-end, et l'optimisation de la gamme en repositionnant les produits à faible rotation comme l'Espresso.</w:t>
      </w:r>
    </w:p>
    <w:p>
      <w:pPr>
        <w:spacing w:before="200"/>
      </w:pPr>
    </w:p>
    <w:p>
      <w:pPr>
        <w:pBdr>
          <w:bottom w:val="single" w:color="006633" w:sz="6" w:space="1"/>
        </w:pBdr>
        <w:spacing w:before="80" w:after="80"/>
      </w:pP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06633"/>
          <w:sz w:val="20"/>
          <w:szCs w:val="20"/>
        </w:rPr>
        <w:t xml:space="preserve">Chaymaa El Mouini</w:t>
      </w:r>
      <w:r>
        <w:rPr>
          <w:rFonts w:ascii="Arial" w:cs="Arial" w:eastAsia="Arial" w:hAnsi="Arial"/>
          <w:color w:val="5A7A65"/>
          <w:sz w:val="18"/>
          <w:szCs w:val="18"/>
        </w:rPr>
        <w:t xml:space="preserve">  |  ENCG Settat — Université Hassan 1er  |  Mars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33" w:sz="3"/>
      </w:pBdr>
      <w:spacing w:before="100"/>
    </w:pPr>
    <w:r>
      <w:rPr>
        <w:rFonts w:ascii="Arial" w:cs="Arial" w:eastAsia="Arial" w:hAnsi="Arial"/>
        <w:color w:val="5A7A65"/>
        <w:sz w:val="16"/>
        <w:szCs w:val="16"/>
      </w:rPr>
      <w:t xml:space="preserve">ENCG Settat — Université Hassan 1er</w:t>
    </w:r>
    <w:r>
      <w:rPr>
        <w:rFonts w:ascii="Arial" w:cs="Arial" w:eastAsia="Arial" w:hAnsi="Arial"/>
        <w:color w:val="5A7A65"/>
        <w:sz w:val="16"/>
        <w:szCs w:val="16"/>
      </w:rPr>
      <w:t xml:space="preserve">   |   Page </w:t>
    </w:r>
    <w:r>
      <w:rPr>
        <w:rFonts w:ascii="Arial" w:cs="Arial" w:eastAsia="Arial" w:hAnsi="Arial"/>
        <w:color w:val="5A7A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06633" w:val="clear"/>
      <w:spacing w:before="60" w:after="6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☕ Coffee Sales — Compte Rendu</w:t>
    </w:r>
    <w:r>
      <w:rPr>
        <w:rFonts w:ascii="Arial" w:cs="Arial" w:eastAsia="Arial" w:hAnsi="Arial"/>
        <w:color w:val="D4A017"/>
        <w:sz w:val="16"/>
        <w:szCs w:val="16"/>
      </w:rPr>
      <w:t xml:space="preserve">   |   Chaymaa El Mouini   |   ENCG Settat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b60008a0a66dce9402a8350d79aca6b5751ac48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2026-03-28T23:33:18.078Z</dcterms:created>
  <dcterms:modified xsi:type="dcterms:W3CDTF">2026-03-28T23:33:18.079Z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