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6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9F07CB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541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346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63.96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123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195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36.04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86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541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292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53.97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248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45.84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proofErr w:type="gramStart"/>
      <w:r>
        <w:rPr>
          <w:rFonts w:ascii="宋体" w:eastAsia="宋体" w:hAnsi="宋体"/>
          <w:sz w:val="24"/>
          <w:szCs w:val="24"/>
        </w:rPr>
        <w:t>责任工</w:t>
      </w:r>
      <w:proofErr w:type="gramEnd"/>
      <w:r>
        <w:rPr>
          <w:rFonts w:ascii="宋体" w:eastAsia="宋体" w:hAnsi="宋体"/>
          <w:sz w:val="24"/>
          <w:szCs w:val="24"/>
        </w:rPr>
        <w:t>单</w:t>
      </w:r>
      <w:r w:rsidR="0073027E" w:rsidRPr="0073027E">
        <w:rPr>
          <w:rFonts w:ascii="宋体" w:eastAsia="宋体" w:hAnsi="宋体"/>
          <w:sz w:val="24"/>
          <w:szCs w:val="24"/>
        </w:rPr>
        <w:t>133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减少39.55%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>
        <w:rPr>
          <w:rFonts w:ascii="宋体" w:eastAsia="宋体" w:hAnsi="宋体" w:hint="eastAsia"/>
          <w:sz w:val="24"/>
          <w:szCs w:val="24"/>
        </w:rPr>
        <w:t>减少</w:t>
      </w:r>
      <w:r w:rsidR="0073027E">
        <w:rPr>
          <w:rFonts w:ascii="宋体" w:eastAsia="宋体" w:hAnsi="宋体" w:hint="eastAsia"/>
          <w:sz w:val="24"/>
          <w:szCs w:val="24"/>
        </w:rPr>
        <w:t>减少61.89%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6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1499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806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减少46.23%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346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157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45.38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188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54.34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188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互联网业务故障132宗，占比38.15%；专线业务故障122宗，占比35.26%；语音业务故障91宗，占比26.30%；其他业务故障1宗，占比0.29%。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188</w:t>
      </w:r>
      <w:r w:rsidR="00C83B80"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94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客户设备51宗，占比54.26%；客户动力22宗，占比23.40%；客户线路21宗，占比22.34%。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54.26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23.40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22.34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188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94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光缆故障51宗，占比54.26%；设备故障31宗，占比32.98%；动力配套8宗，占比8.51%；电缆故障4宗，占比4.26%；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54.26%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32.98%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8.51%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4.26%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市政施工17宗，占比33.33%；光缆劣化16宗，占比31.37%；老鼠咬断7宗，占比13.73%；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数据设备10宗，占比32.26%；交换设备、接入设备各7宗，各占比22.58%；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机房停电5宗，占比62.50%；机房空调2宗，占比25.00%；机房电池1宗，占比12.50%；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老鼠咬断2宗，占比50.00%；电缆劣化、电缆松动各1宗，各占比25.00%；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54.26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31.37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13.73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9.80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3.92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3.92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河涌整治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1.96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1.96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32.26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32.98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22.58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22.58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12.90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9.68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62.50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8.51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机房空调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25.00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机房电池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12.50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4.26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25.00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25.00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94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占比最大的是金融、保险业，67宗，占比19.36%；其次是中小企业，25宗，占比26.60%。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71.28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26.60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采掘业和一般制造业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2.13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94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2次光缆劣化造成系统集成公司报障2宗，占比2.13%；1次交换设备、1次传输设备造成广发银行股份有限公司报障2宗，占比2.13%；1次光缆劣化、1次客户端联通设备造成北汽(广州)汽车有限公司报障2宗，占比2.13%；1次传输设备、1次老鼠咬断造成南凌科技股份有限公司报障2宗，占比2.13%；2次市政施工造成宝供物流企业集团有限公司报障2宗，占比2.13%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195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91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46.67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104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46.67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光缆故障39宗，占比20.00%；动力配套29宗，占比14.87%；设备故障25宗，占比12.82%；电缆故障11宗，占比5.64%；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37.50%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27.88%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24.04%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10.58%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光缆劣化14宗，占比35.90%；市政施工9宗，占比23.08%；老鼠咬断、尾纤松动各5宗，各占比12.82%；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客户设备13宗，占比52.00%；传输设备、数据设备各5宗，各占比20.00%；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客户动力16宗，占比55.17%；机房停电11宗，占比37.93%；机房电池、室分停电各1宗，各占比3.45%；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客户内线11宗，占比100.00%；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35.90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39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37.50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23.08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12.82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12.82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10.26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5.13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52.00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24.04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数据设备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接入设备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55.17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27.88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37.93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机房电池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3.45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室分停电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3.45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10.58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${localUnicomELineItemPercent}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104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占比最大的是金融、保险业，34宗，占比32.69%；其次是中小企业，22宗，占比21.15%。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21.15%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13.46%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10.58%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邮电计算机信息业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6.73%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3.85%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104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尾纤松动、3次市政施工、1次客户动力造成中企网络通信技术有限公司广州分公司报障5宗，占比4.81%；4次客户动力造成招商银行股份有限公司广州分行报障4宗，占比3.85%；1次机房停电、1次光缆劣化、1次客户动力造成中国银行股份有限公司广东省分行报障3宗，占比2.88%；2次客户设备、1次市政施工造成国家税务总局广州市税务局报障3宗，占比2.88%；2次机房停电、1次光缆劣化造成中企网络通信技术有限公司广州分公司 报障3宗，占比2.88%；其余客户均报障1宗。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46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21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45.65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25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54.35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动力配套10宗，占比40.00%；光缆故障7宗，占比28.00%；设备故障4宗，占比16.00%；客户设备2宗，占比8.00%；电缆故障2宗，占比8.00%；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B20200511-0012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510GXN011910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B20200508-0002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510GXN011910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广东-业务故障20200501-A0003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中侨农林下路30N0043TS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设备故障-交换设备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广东-业务故障20200430-A2038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02022897395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B20200508-0012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GZU/CU-Canada EP001 GZU/CU-SEA/CU 2V12V001 （广发证券股份有限公司）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柯子岭景云路步塘西村NE0001NP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B20200501-0001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广州珠海NE0159NP(广州农村商业银行股份有限公司）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B20200511-0011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东风东路洛浦街NE0001NP(顺丰速运)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B20200511-0010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东风东路桥中坦尾路NE0001NP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平安银行股份有限公司广州分行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华强路龙津西路NE0001NP(平安银行)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B20200515-0016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510YTW095724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B20200514-0019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高塘路中山四路NE0001NP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B20200510-0008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510YTW011941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B20200506-0015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高塘路科翔路NE0001NP(招商银行）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东风东路沿江中路NE0001NP(工行第一支行)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设备故障-传输设备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B20200513-0010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科学城赤岗路30N0001NP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B20200507-0006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天丰路勤建大厦30N0001NP(民生银行)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电缆故障-客户内线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广东-业务故障20200513-A0809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中国南方航空股份有限公司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机场路环市西路NE0001NP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B20200518-0009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中国南方航空股份有限公司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广州青岛ANE0017NP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电缆故障-客户内线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中国南方航空股份有限公司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太原广州ANE0018NP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设备故障-客户端联通设备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B20200507-0001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环市东路龙洞批发市场NE0001NP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B20200507-0013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中国农业银行股份有限公司梅州分行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广州梅州NE0023NP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光缆故障-尾纤松动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B20200514-0016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国际金融大厦同福东NE0001NP(中行同福支行)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B20200509-0011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国际金融大厦白云宾馆NE0001NP(中行白云宾馆支行)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国际金融大厦新港中路NE0001NP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25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0.67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B20200511-0012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510GXN011910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4.65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0.67%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B20200508-0002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广东省农村信用社联合社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510GXN011910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广东-业务故障20200501-A0003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中侨农林下路30N0043TS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0.76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广东-业务故障20200430-A2038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02022897395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1.87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B20200508-0012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广发证券股份有限公司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GZU/CU-Canada EP001 GZU/CU-SEA/CU 2V12V001 （广发证券股份有限公司）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柯子岭景云路步塘西村NE0001NP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B20200501-0001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广州珠海NE0159NP(广州农村商业银行股份有限公司）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B20200511-0011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东风东路洛浦街NE0001NP(顺丰速运)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2.17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B20200511-0010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广州顺丰速运有限公司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东风东路桥中坦尾路NE0001NP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平安银行股份有限公司广州分行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华强路龙津西路NE0001NP(平安银行)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0.54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B20200515-0016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510YTW095724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4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2.74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B20200514-0019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高塘路中山四路NE0001NP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B20200510-0008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510YTW011941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B20200506-0015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高塘路科翔路NE0001NP(招商银行）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东风东路沿江中路NE0001NP(工行第一支行)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B20200513-0010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科学城赤岗路30N0001NP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1.23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B20200507-0006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天丰路勤建大厦30N0001NP(民生银行)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广东-业务故障20200513-A0809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中国南方航空股份有限公司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机场路环市西路NE0001NP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3.66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B20200518-0009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中国南方航空股份有限公司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广州青岛ANE0017NP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中国南方航空股份有限公司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太原广州ANE0018NP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B20200507-0001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环市东路龙洞批发市场NE0001NP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6.67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B20200507-0013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中国农业银行股份有限公司梅州分行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广州梅州NE0023NP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100.00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B20200514-0016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国际金融大厦同福东NE0001NP(中行同福支行)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0.84</w:t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B20200509-0011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国际金融大厦白云宾馆NE0001NP(中行白云宾馆支行)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B20200506-0005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 国际金融大厦新港中路NE0001NP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7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46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8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8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9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23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次数1次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bookmarkStart w:id="20" w:name="_GoBack"/>
      <w:bookmarkEnd w:id="20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118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次数1次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广东-业务故障20200501-A0003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广发银行股份有限公司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中侨农林下路30N0043TS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141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设备故障-交换设备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广东-业务故障20200501-A0038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广发银行股份有限公司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中侨农林下路30N0043TS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768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设备故障-传输设备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广东-业务故障20200501-A0011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前海人寿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广州广州MV0681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33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null-null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广东-业务故障20200506-A0281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前海人寿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广州广州MV0681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null-null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广东-业务故障20200506-A0314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前海人寿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广州广州MV0681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null-null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1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20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0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100.00%(&gt;90%)，达标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${TOP210TimeoutItemNumber}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${TOP210TimeoutItemTime}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${TOP210TimeoutItemReason}</w:t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14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0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100.00%(&gt;90%)，达标。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${TOP800OneTwoTimeoutItemReason}</w:t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9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0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100.00%(&gt;95%)，达标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${TOP800ThreeSixTimeoutItemReason}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141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6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95.74%(&gt;95%)，达标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BZ-广东-业务故障20200428-A1807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腾讯手机管家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02022040489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17636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上海-业务故障20200420-A0411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平安金服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39837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互联通互通问题，非联通故障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上海-业务故障20200428-A0608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平安银行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10100600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19948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联通国际公司-业务故障20200513-B0215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2005130006-Orange-美世咨询公司PCAN1104和PCAN1105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GZU/CU-GZU/OBS VPN035,GZU/CU-SHI/OBS VPN006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2059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联通国际公司-业务故障20200515-B0259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2005150091-AT&amp;T-IBM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广州广州MV0507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2735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客户机房温度过高导致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联通国际公司-业务故障20200515-B0260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2005150092-AT&amp;T-IBM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广州广州MV0510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2734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客户机房温度过高导致</w:t>
            </w:r>
          </w:p>
        </w:tc>
      </w:tr>
    </w:tbl>
    <w:p w:rsidR="00BE5A51" w:rsidRPr="004D7436" w:rsidRDefault="00BE5A51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CB" w:rsidRDefault="009F07CB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9F07CB" w:rsidRDefault="009F07CB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5FC08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7F36-C440-4066-B32C-555181F8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11</Pages>
  <Words>1435</Words>
  <Characters>8182</Characters>
  <Application>Microsoft Office Word</Application>
  <DocSecurity>0</DocSecurity>
  <Lines>68</Lines>
  <Paragraphs>19</Paragraphs>
  <ScaleCrop>false</ScaleCrop>
  <Company>Microsoft</Company>
  <LinksUpToDate>false</LinksUpToDate>
  <CharactersWithSpaces>9598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557</cp:revision>
  <cp:lastPrinted>2019-06-24T11:05:00Z</cp:lastPrinted>
  <dcterms:created xsi:type="dcterms:W3CDTF">2019-07-09T08:36:00Z</dcterms:created>
  <dcterms:modified xsi:type="dcterms:W3CDTF">2020-06-08T10:07:00Z</dcterms:modified>
</cp:coreProperties>
</file>