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12" w:line="360"/>
        <w:ind w:right="0" w:left="199" w:hanging="199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  <w:r>
        <w:object w:dxaOrig="2518" w:dyaOrig="1368">
          <v:rect xmlns:o="urn:schemas-microsoft-com:office:office" xmlns:v="urn:schemas-microsoft-com:vml" id="rectole0000000000" style="width:125.900000pt;height:6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12" w:line="360"/>
        <w:ind w:right="0" w:left="458" w:hanging="458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312" w:line="360"/>
        <w:ind w:right="0" w:left="458" w:hanging="458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312" w:line="360"/>
        <w:ind w:right="0" w:left="458" w:hanging="458"/>
        <w:jc w:val="left"/>
        <w:rPr>
          <w:rFonts w:ascii="仿宋" w:hAnsi="仿宋" w:cs="仿宋" w:eastAsia="仿宋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312" w:line="360"/>
        <w:ind w:right="0" w:left="343" w:hanging="343"/>
        <w:jc w:val="left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312" w:line="360"/>
        <w:ind w:right="0" w:left="343" w:hanging="343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黑体" w:hAnsi="黑体" w:cs="黑体" w:eastAsia="黑体"/>
          <w:b/>
          <w:color w:val="000000"/>
          <w:spacing w:val="0"/>
          <w:position w:val="0"/>
          <w:sz w:val="36"/>
          <w:shd w:fill="auto" w:val="clear"/>
        </w:rPr>
        <w:t xml:space="preserve">中国联通广州市分公司</w:t>
      </w:r>
    </w:p>
    <w:p>
      <w:pPr>
        <w:spacing w:before="0" w:after="312" w:line="360"/>
        <w:ind w:right="0" w:left="343" w:hanging="343"/>
        <w:jc w:val="center"/>
        <w:rPr>
          <w:rFonts w:ascii="黑体" w:hAnsi="黑体" w:cs="黑体" w:eastAsia="黑体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36"/>
          <w:shd w:fill="auto" w:val="clear"/>
        </w:rPr>
        <w:t xml:space="preserve">政企网络服务中台故障工单分析报告</w:t>
      </w:r>
    </w:p>
    <w:p>
      <w:pPr>
        <w:spacing w:before="0" w:after="312" w:line="360"/>
        <w:ind w:right="0" w:left="723" w:hanging="723"/>
        <w:jc w:val="center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312" w:line="360"/>
        <w:ind w:right="0" w:left="723" w:hanging="723"/>
        <w:jc w:val="center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312" w:line="360"/>
        <w:ind w:right="0" w:left="723" w:hanging="723"/>
        <w:jc w:val="center"/>
        <w:rPr>
          <w:rFonts w:ascii="仿宋" w:hAnsi="仿宋" w:cs="仿宋" w:eastAsia="仿宋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广州客户感知优化中心</w:t>
      </w:r>
    </w:p>
    <w:p>
      <w:pPr>
        <w:spacing w:before="0" w:after="312" w:line="360"/>
        <w:ind w:right="0" w:left="562" w:hanging="562"/>
        <w:jc w:val="center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${year}年${month}月</w:t>
      </w:r>
    </w:p>
    <w:p>
      <w:pPr>
        <w:spacing w:before="240" w:after="312" w:line="240"/>
        <w:ind w:right="0" w:left="420" w:hanging="420"/>
        <w:jc w:val="left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</w:p>
    <w:p>
      <w:pPr>
        <w:spacing w:before="240" w:after="312" w:line="240"/>
        <w:ind w:right="0" w:left="420" w:hanging="420"/>
        <w:jc w:val="center"/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</w:pPr>
      <w:r>
        <w:rPr>
          <w:rFonts w:ascii="黑体" w:hAnsi="黑体" w:cs="黑体" w:eastAsia="黑体"/>
          <w:color w:val="000000"/>
          <w:spacing w:val="0"/>
          <w:position w:val="0"/>
          <w:sz w:val="44"/>
          <w:shd w:fill="auto" w:val="clear"/>
        </w:rPr>
        <w:t xml:space="preserve">目     录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480" w:hanging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一、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总体故障概况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二、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19系统工单分析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故障原因分析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按客户行业分析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按客户故障量分析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三、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本地工单分析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故障原因分析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按客户行业分析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按客户故障量分析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四、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TOP33重要客户故障情况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故障原因分析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政企客户电路故障率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政企客户故障处理恢复及时率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五、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政企网络指标预测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(一)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责任故障重复次数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11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(二)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集团直管客户故障及时率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(三)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TOP800家1-2级客户故障及时率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(四)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TOP800家3-6级客户故障及时率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12</w:t>
      </w:r>
    </w:p>
    <w:p>
      <w:pPr>
        <w:tabs>
          <w:tab w:val="left" w:pos="1260" w:leader="none"/>
          <w:tab w:val="right" w:pos="8296" w:leader="dot"/>
        </w:tabs>
        <w:spacing w:before="0" w:after="156" w:line="360"/>
        <w:ind w:right="0" w:left="862" w:hanging="44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(五)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所有客户故障及时率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left" w:pos="840" w:leader="none"/>
          <w:tab w:val="right" w:pos="8296" w:leader="dot"/>
        </w:tabs>
        <w:spacing w:before="0" w:after="0" w:line="360"/>
        <w:ind w:right="0" w:left="562" w:hanging="562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六、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0563C1"/>
          <w:spacing w:val="0"/>
          <w:position w:val="0"/>
          <w:sz w:val="24"/>
          <w:u w:val="single"/>
          <w:shd w:fill="auto" w:val="clear"/>
        </w:rPr>
        <w:t xml:space="preserve">典型案例分析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15</w:t>
      </w:r>
    </w:p>
    <w:p>
      <w:pPr>
        <w:numPr>
          <w:ilvl w:val="0"/>
          <w:numId w:val="20"/>
        </w:numPr>
        <w:spacing w:before="340" w:after="0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总体故障概况</w:t>
      </w:r>
    </w:p>
    <w:p>
      <w:pPr>
        <w:numPr>
          <w:ilvl w:val="0"/>
          <w:numId w:val="20"/>
        </w:numPr>
        <w:spacing w:before="260" w:after="0" w:line="360"/>
        <w:ind w:right="0" w:left="200" w:hanging="200"/>
        <w:jc w:val="both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全量故障情况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本月政企客户故障共计发生${order_sum}宗，其中19工单${order_assess_sum}宗，占比${order_assess_percent}%，环比上期${order_assess_compare}宗；本地工单${order_local_sum}宗，占比${order_local_percent}%，环比上期${order_local_compare}单。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按省公司对故障定义标准，本月政企客户故障工单数${order_sum}宗，其中真实故障${order_real}宗，占比${order_real_percent}%；非真实故障（指客户业务咨询类、客户误报类）${order_fake}宗，占比${order_fake_percent}%。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${sum_picture}</w:t>
      </w:r>
    </w:p>
    <w:p>
      <w:pPr>
        <w:spacing w:before="0" w:after="0" w:line="360"/>
        <w:ind w:right="0" w:left="199" w:hanging="199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图1  近4月政企用户故障量情况</w:t>
      </w:r>
    </w:p>
    <w:p>
      <w:pPr>
        <w:numPr>
          <w:ilvl w:val="0"/>
          <w:numId w:val="25"/>
        </w:numPr>
        <w:spacing w:before="260" w:after="0" w:line="360"/>
        <w:ind w:right="0" w:left="200" w:hanging="200"/>
        <w:jc w:val="both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责任故障情况</w:t>
      </w:r>
    </w:p>
    <w:p>
      <w:pPr>
        <w:spacing w:before="0" w:after="0" w:line="360"/>
        <w:ind w:right="0" w:left="0" w:firstLine="48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联通责任工单${order_assess_duty_sum}单，环比上月${order_assess_duty_compare_month}，同比去年${order_assess_duty_compare_year}；截止至${month}月,去年责任故障量${order_assess_duty_last_year}宗，2020年责任故障量${order_assess_duty_this_year}宗，同比${order_assess_duty_sum_compare}。</w:t>
      </w:r>
    </w:p>
    <w:p>
      <w:pPr>
        <w:numPr>
          <w:ilvl w:val="0"/>
          <w:numId w:val="27"/>
        </w:numPr>
        <w:spacing w:before="340" w:after="0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19系统工单分析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19系统故障工单共计${order_assess_sum}宗，其中非真实故障${order_assess_fake}宗，占比${order_assess_fake_percent}%；真实故障${order_assess_real}宗，占比${order_assess_real_percent}%。${order_assess_real}宗真实故障中${order_assess_trouble_type}</w:t>
      </w:r>
    </w:p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${order_assess_sum_picture}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图2 故障业务分类（19系统）</w:t>
      </w:r>
    </w:p>
    <w:p>
      <w:pPr>
        <w:numPr>
          <w:ilvl w:val="0"/>
          <w:numId w:val="30"/>
        </w:numPr>
        <w:spacing w:before="260" w:after="0" w:line="360"/>
        <w:ind w:right="0" w:left="200" w:hanging="20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故障原因分析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本月19系统真实故障工单共计${order_assess_real}宗，归属用户侧原因的有${order_assess_customer}宗，其中${order_assess_customer_detail} 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 政企客户故障原因（用户侧）</w:t>
      </w:r>
    </w:p>
    <w:tbl>
      <w:tblPr/>
      <w:tblGrid>
        <w:gridCol w:w="2772"/>
        <w:gridCol w:w="2463"/>
        <w:gridCol w:w="3082"/>
      </w:tblGrid>
      <w:tr>
        <w:trPr>
          <w:trHeight w:val="300" w:hRule="auto"/>
          <w:jc w:val="center"/>
        </w:trPr>
        <w:tc>
          <w:tcPr>
            <w:tcW w:w="27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故障原因</w:t>
            </w:r>
          </w:p>
        </w:tc>
        <w:tc>
          <w:tcPr>
            <w:tcW w:w="246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故障数</w:t>
            </w:r>
          </w:p>
        </w:tc>
        <w:tc>
          <w:tcPr>
            <w:tcW w:w="308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center"/>
        </w:trPr>
        <w:tc>
          <w:tcPr>
            <w:tcW w:w="277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${assessCustomerItems}</w:t>
            </w:r>
          </w:p>
        </w:tc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${assessCustomerItemsSum}</w:t>
            </w:r>
          </w:p>
        </w:tc>
        <w:tc>
          <w:tcPr>
            <w:tcW w:w="308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${assessCustomerItemsPercent}%</w:t>
            </w:r>
          </w:p>
        </w:tc>
      </w:tr>
      <w:tr>
        <w:trPr>
          <w:trHeight w:val="300" w:hRule="auto"/>
          <w:jc w:val="center"/>
        </w:trPr>
        <w:tc>
          <w:tcPr>
            <w:tcW w:w="2772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246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${order_assess_customer}</w:t>
            </w:r>
          </w:p>
        </w:tc>
        <w:tc>
          <w:tcPr>
            <w:tcW w:w="308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100%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${order_assess_customer_picture}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图3 政企客户故障原因（用户侧）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真实故障${order_assess_real}宗中，归属网络侧的故障有${order_assess_unicom}宗。其中${order_assess_unicom_detail}具体如下： 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表2 政企客户故障原因（网络侧）</w:t>
      </w:r>
    </w:p>
    <w:tbl>
      <w:tblPr/>
      <w:tblGrid>
        <w:gridCol w:w="2784"/>
        <w:gridCol w:w="2785"/>
        <w:gridCol w:w="2785"/>
      </w:tblGrid>
      <w:tr>
        <w:trPr>
          <w:trHeight w:val="300" w:hRule="auto"/>
          <w:jc w:val="left"/>
        </w:trPr>
        <w:tc>
          <w:tcPr>
            <w:tcW w:w="278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故障分类</w:t>
            </w:r>
          </w:p>
        </w:tc>
        <w:tc>
          <w:tcPr>
            <w:tcW w:w="278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故障数</w:t>
            </w:r>
          </w:p>
        </w:tc>
        <w:tc>
          <w:tcPr>
            <w:tcW w:w="278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left"/>
        </w:trPr>
        <w:tc>
          <w:tcPr>
            <w:tcW w:w="27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${assessUnicomItems}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${assessUnicomItemsSum}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${assessUnicomItemsPercent}%</w:t>
            </w:r>
          </w:p>
        </w:tc>
      </w:tr>
      <w:tr>
        <w:trPr>
          <w:trHeight w:val="300" w:hRule="auto"/>
          <w:jc w:val="left"/>
        </w:trPr>
        <w:tc>
          <w:tcPr>
            <w:tcW w:w="278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${order_assess_unicom}</w:t>
            </w:r>
          </w:p>
        </w:tc>
        <w:tc>
          <w:tcPr>
            <w:tcW w:w="278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100%</w:t>
            </w:r>
          </w:p>
        </w:tc>
      </w:tr>
    </w:tbl>
    <w:p>
      <w:pPr>
        <w:spacing w:before="0" w:after="156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${order_assess_unicom_picture}</w:t>
      </w:r>
    </w:p>
    <w:p>
      <w:pPr>
        <w:spacing w:before="0" w:after="156" w:line="240"/>
        <w:ind w:right="0" w:left="0" w:firstLine="0"/>
        <w:jc w:val="center"/>
        <w:rPr>
          <w:rFonts w:ascii="仿宋" w:hAnsi="仿宋" w:cs="仿宋" w:eastAsia="仿宋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图4 故障原因分类（网络侧）</w:t>
      </w:r>
    </w:p>
    <w:p>
      <w:pPr>
        <w:numPr>
          <w:ilvl w:val="0"/>
          <w:numId w:val="54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光缆故障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：${order_assess_unicom_line_detail} </w:t>
      </w:r>
    </w:p>
    <w:p>
      <w:pPr>
        <w:numPr>
          <w:ilvl w:val="0"/>
          <w:numId w:val="54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设备故障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：${order_assess_unicom_devices_detail} </w:t>
      </w:r>
    </w:p>
    <w:p>
      <w:pPr>
        <w:numPr>
          <w:ilvl w:val="0"/>
          <w:numId w:val="54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动力配套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：${order_assess_unicom_power_detail} </w:t>
      </w:r>
    </w:p>
    <w:p>
      <w:pPr>
        <w:numPr>
          <w:ilvl w:val="0"/>
          <w:numId w:val="54"/>
        </w:numPr>
        <w:spacing w:before="0" w:after="0" w:line="360"/>
        <w:ind w:right="0" w:left="0" w:firstLine="113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电缆故障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：${order_assess_unicom_e_line_detail} </w:t>
      </w:r>
    </w:p>
    <w:p>
      <w:pPr>
        <w:spacing w:before="0" w:after="0" w:line="360"/>
        <w:ind w:right="0" w:left="113" w:firstLine="307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详见下表：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表3 19系统故障工单详情</w:t>
      </w:r>
    </w:p>
    <w:tbl>
      <w:tblPr/>
      <w:tblGrid>
        <w:gridCol w:w="1550"/>
        <w:gridCol w:w="2126"/>
        <w:gridCol w:w="1134"/>
        <w:gridCol w:w="1276"/>
        <w:gridCol w:w="1275"/>
        <w:gridCol w:w="1134"/>
      </w:tblGrid>
      <w:tr>
        <w:trPr>
          <w:trHeight w:val="285" w:hRule="auto"/>
          <w:jc w:val="left"/>
        </w:trPr>
        <w:tc>
          <w:tcPr>
            <w:tcW w:w="15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故障分类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故障总量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总占比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光缆故障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设备故障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${order_assess_unicom_devices}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${order_assess_unicom_devices_percent}%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${assessUnicomDevicesItemPercent}%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动力配套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${order_assess_unicom_power}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${order_assess_unicom_power_percent}%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${assessUnicomPowerItemPercent}%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电缆故障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${order_assess_unicom_e_line}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${order_assess_unicom_e_line_percent}%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${assessUnicomELineItemPercent}%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086" w:type="dxa"/>
            <w:gridSpan w:val="4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12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${order_assess_unicom}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95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按客户行业分析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本月19系统政企客户网络侧故障${order_assess_unicom}宗，其中${order_assess_business_type_detail}具体如下：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表4 19系统故障客户分类</w:t>
      </w:r>
    </w:p>
    <w:tbl>
      <w:tblPr/>
      <w:tblGrid>
        <w:gridCol w:w="5944"/>
        <w:gridCol w:w="992"/>
        <w:gridCol w:w="1559"/>
      </w:tblGrid>
      <w:tr>
        <w:trPr>
          <w:trHeight w:val="300" w:hRule="auto"/>
          <w:jc w:val="left"/>
        </w:trPr>
        <w:tc>
          <w:tcPr>
            <w:tcW w:w="59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行业类型</w:t>
            </w:r>
          </w:p>
        </w:tc>
        <w:tc>
          <w:tcPr>
            <w:tcW w:w="992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  <w:tc>
          <w:tcPr>
            <w:tcW w:w="1559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left"/>
        </w:trPr>
        <w:tc>
          <w:tcPr>
            <w:tcW w:w="594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${assessBusinessTypeItem}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${assessBusinessTypeItemSum}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${assessBusinessTypeItemPercent}%</w:t>
            </w:r>
          </w:p>
        </w:tc>
      </w:tr>
      <w:tr>
        <w:trPr>
          <w:trHeight w:val="300" w:hRule="auto"/>
          <w:jc w:val="left"/>
        </w:trPr>
        <w:tc>
          <w:tcPr>
            <w:tcW w:w="5944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合计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${order_assess_unicom}</w:t>
            </w:r>
          </w:p>
        </w:tc>
        <w:tc>
          <w:tcPr>
            <w:tcW w:w="155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106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按客户故障量分析</w:t>
      </w:r>
    </w:p>
    <w:p>
      <w:pPr>
        <w:spacing w:before="0" w:after="0" w:line="360"/>
        <w:ind w:right="0" w:left="0" w:firstLine="48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本月19系统政企客户网络侧故障${order_assess_unicom}宗，${order_assess_customer_sum_detail}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${order_assess_customer_sum_picture}</w:t>
      </w:r>
    </w:p>
    <w:p>
      <w:pPr>
        <w:spacing w:before="0" w:after="156" w:line="240"/>
        <w:ind w:right="0" w:left="0" w:firstLine="0"/>
        <w:jc w:val="center"/>
        <w:rPr>
          <w:rFonts w:ascii="仿宋" w:hAnsi="仿宋" w:cs="仿宋" w:eastAsia="仿宋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图5  19故障客户故障量情况（网络侧）</w:t>
      </w:r>
    </w:p>
    <w:p>
      <w:pPr>
        <w:numPr>
          <w:ilvl w:val="0"/>
          <w:numId w:val="110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本地工单分析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本地故障工单共计${order_local_sum}宗，其中非真实故障（指客户业务咨询类、客户误报类）${order_local_fake}宗，占比${order_local_fake_percent}%；真实故障${order_local_real}宗，占比${order_local_fake_percent}%，其中${order_local_unicom_detail}详情如下：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表5 本地政企客户故障原因</w:t>
      </w:r>
    </w:p>
    <w:tbl>
      <w:tblPr/>
      <w:tblGrid>
        <w:gridCol w:w="2967"/>
        <w:gridCol w:w="2693"/>
        <w:gridCol w:w="2835"/>
      </w:tblGrid>
      <w:tr>
        <w:trPr>
          <w:trHeight w:val="300" w:hRule="auto"/>
          <w:jc w:val="center"/>
        </w:trPr>
        <w:tc>
          <w:tcPr>
            <w:tcW w:w="29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8cba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故障分类</w:t>
            </w:r>
          </w:p>
        </w:tc>
        <w:tc>
          <w:tcPr>
            <w:tcW w:w="269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8cba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  <w:tc>
          <w:tcPr>
            <w:tcW w:w="283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8cbad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占比</w:t>
            </w:r>
          </w:p>
        </w:tc>
      </w:tr>
      <w:tr>
        <w:trPr>
          <w:trHeight w:val="300" w:hRule="auto"/>
          <w:jc w:val="center"/>
        </w:trPr>
        <w:tc>
          <w:tcPr>
            <w:tcW w:w="29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${localUnicomItem}</w:t>
            </w: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${localUnicomItemSum}</w:t>
            </w: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${localUnicomItemPercent}%</w:t>
            </w:r>
          </w:p>
        </w:tc>
      </w:tr>
      <w:tr>
        <w:trPr>
          <w:trHeight w:val="300" w:hRule="auto"/>
          <w:jc w:val="center"/>
        </w:trPr>
        <w:tc>
          <w:tcPr>
            <w:tcW w:w="29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总计</w:t>
            </w: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${order_local_real}</w:t>
            </w: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100.0%</w:t>
            </w:r>
          </w:p>
        </w:tc>
      </w:tr>
    </w:tbl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${order_local_sum_detail}</w:t>
      </w:r>
    </w:p>
    <w:p>
      <w:pPr>
        <w:spacing w:before="0" w:after="0" w:line="36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图6 本地政企客户故障原因占比</w:t>
      </w:r>
    </w:p>
    <w:p>
      <w:pPr>
        <w:numPr>
          <w:ilvl w:val="0"/>
          <w:numId w:val="122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故障原因分析</w:t>
      </w:r>
    </w:p>
    <w:p>
      <w:pPr>
        <w:numPr>
          <w:ilvl w:val="0"/>
          <w:numId w:val="122"/>
        </w:numPr>
        <w:spacing w:before="0" w:after="0" w:line="36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光缆故障：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${order_local_unicom_line_detail}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2"/>
        </w:num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设备故障：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${order_local_unicom_devices_detail}</w:t>
      </w: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122"/>
        </w:num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动力配套：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${order_local_unicom_power_detail}</w:t>
      </w:r>
    </w:p>
    <w:p>
      <w:pPr>
        <w:numPr>
          <w:ilvl w:val="0"/>
          <w:numId w:val="122"/>
        </w:numPr>
        <w:spacing w:before="0" w:after="0" w:line="36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电缆故障：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${order_local_unicom_e_line_detail}详情如下：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表6 本地政企故障原因详情</w:t>
      </w:r>
    </w:p>
    <w:tbl>
      <w:tblPr/>
      <w:tblGrid>
        <w:gridCol w:w="1550"/>
        <w:gridCol w:w="2126"/>
        <w:gridCol w:w="1134"/>
        <w:gridCol w:w="1276"/>
        <w:gridCol w:w="1275"/>
        <w:gridCol w:w="1134"/>
      </w:tblGrid>
      <w:tr>
        <w:trPr>
          <w:trHeight w:val="285" w:hRule="auto"/>
          <w:jc w:val="left"/>
        </w:trPr>
        <w:tc>
          <w:tcPr>
            <w:tcW w:w="155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故障分类</w:t>
            </w:r>
          </w:p>
        </w:tc>
        <w:tc>
          <w:tcPr>
            <w:tcW w:w="212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1276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故障总量</w:t>
            </w:r>
          </w:p>
        </w:tc>
        <w:tc>
          <w:tcPr>
            <w:tcW w:w="113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总占比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光缆故障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设备故障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${order_local_unicom_devices}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${order_local_unicom_devices_percent}%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${localUnicomDevicesItemPercent}%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动力配套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${order_local_unicom_power}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${order_local_unicom_power_percent}%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${localUnicomPowerItemPercent}%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 w:val="restart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电缆故障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${localUnicomELineItem1}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${localUnicomELineItemSum1}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${localUnicomELineItemPercent1}%</w:t>
            </w:r>
          </w:p>
        </w:tc>
        <w:tc>
          <w:tcPr>
            <w:tcW w:w="127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${order_local_unicom_e_line}</w:t>
            </w:r>
          </w:p>
        </w:tc>
        <w:tc>
          <w:tcPr>
            <w:tcW w:w="1134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${order_local_unicom_e_line_percent}%</w:t>
            </w:r>
          </w:p>
        </w:tc>
      </w:tr>
      <w:tr>
        <w:trPr>
          <w:trHeight w:val="285" w:hRule="auto"/>
          <w:jc w:val="left"/>
        </w:trPr>
        <w:tc>
          <w:tcPr>
            <w:tcW w:w="1550" w:type="dxa"/>
            <w:vMerge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${localUnicomELineItemSum}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${localUnicomELineItemPercent}%</w:t>
            </w:r>
          </w:p>
        </w:tc>
        <w:tc>
          <w:tcPr>
            <w:tcW w:w="127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086" w:type="dxa"/>
            <w:gridSpan w:val="4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总计</w:t>
            </w:r>
          </w:p>
        </w:tc>
        <w:tc>
          <w:tcPr>
            <w:tcW w:w="12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order_local_real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}</w:t>
            </w:r>
          </w:p>
        </w:tc>
        <w:tc>
          <w:tcPr>
            <w:tcW w:w="113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163"/>
        </w:numPr>
        <w:spacing w:before="260" w:after="312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按客户行业分析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本月本地系统政企客户故障网络侧故障工单${order_local_real}宗。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其中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${order_local_business_type_detail}详情如下：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表7 政企故障客户行业分类表</w:t>
      </w:r>
    </w:p>
    <w:tbl>
      <w:tblPr/>
      <w:tblGrid>
        <w:gridCol w:w="5400"/>
        <w:gridCol w:w="1180"/>
        <w:gridCol w:w="1540"/>
      </w:tblGrid>
      <w:tr>
        <w:trPr>
          <w:trHeight w:val="285" w:hRule="auto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行业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数量</w:t>
            </w:r>
          </w:p>
        </w:tc>
        <w:tc>
          <w:tcPr>
            <w:tcW w:w="154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4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占比</w:t>
            </w:r>
          </w:p>
        </w:tc>
      </w:tr>
      <w:tr>
        <w:trPr>
          <w:trHeight w:val="285" w:hRule="auto"/>
          <w:jc w:val="left"/>
        </w:trPr>
        <w:tc>
          <w:tcPr>
            <w:tcW w:w="5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${localBusinessTypeItem}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${localBusinessTypeItemSum}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${localBusinessTypeItemPercent}%</w:t>
            </w:r>
          </w:p>
        </w:tc>
      </w:tr>
      <w:tr>
        <w:trPr>
          <w:trHeight w:val="285" w:hRule="auto"/>
          <w:jc w:val="left"/>
        </w:trPr>
        <w:tc>
          <w:tcPr>
            <w:tcW w:w="54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合计</w:t>
            </w:r>
          </w:p>
        </w:tc>
        <w:tc>
          <w:tcPr>
            <w:tcW w:w="11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${order_local_real}</w:t>
            </w:r>
          </w:p>
        </w:tc>
        <w:tc>
          <w:tcPr>
            <w:tcW w:w="154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1"/>
                <w:shd w:fill="auto" w:val="clear"/>
              </w:rPr>
              <w:t xml:space="preserve">100.0%</w:t>
            </w:r>
          </w:p>
        </w:tc>
      </w:tr>
    </w:tbl>
    <w:p>
      <w:pPr>
        <w:numPr>
          <w:ilvl w:val="0"/>
          <w:numId w:val="174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按客户故障量分析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本月本地系统政企客户故障网络侧故障工单${order_local_real}宗，${order_local_customer_detail}</w:t>
      </w:r>
    </w:p>
    <w:p>
      <w:pPr>
        <w:spacing w:before="0" w:after="0" w:line="36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${order_local_customer_sum_picture}</w:t>
      </w:r>
    </w:p>
    <w:p>
      <w:pPr>
        <w:spacing w:before="0" w:after="0" w:line="360"/>
        <w:ind w:right="0" w:left="199" w:hanging="199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图7 本地政企客户故障量情况</w:t>
      </w:r>
    </w:p>
    <w:p>
      <w:pPr>
        <w:numPr>
          <w:ilvl w:val="0"/>
          <w:numId w:val="178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TOP33重要客户故障情况</w:t>
      </w:r>
    </w:p>
    <w:p>
      <w:pPr>
        <w:numPr>
          <w:ilvl w:val="0"/>
          <w:numId w:val="178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故障原因分析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本月TOP33重要客户故障量为${TOP33_sum}单，非真实故障${TOP33_fake}宗，占比${TOP33_fake_percent}%；真实故障${TOP33_real}单，占比${TOP33_real_percent}%。其中${TOP33_real_detail}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FFFFFF" w:val="clear"/>
        </w:rPr>
        <w:t xml:space="preserve">详情如下：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表8 TOP33重要客户故障工单</w:t>
      </w:r>
    </w:p>
    <w:tbl>
      <w:tblPr/>
      <w:tblGrid>
        <w:gridCol w:w="2122"/>
        <w:gridCol w:w="2551"/>
        <w:gridCol w:w="2126"/>
        <w:gridCol w:w="281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${TOP33RealItemName}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${TOP33RealItemNumber}</w:t>
            </w:r>
          </w:p>
        </w:tc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${TOP33RealItemReason}</w:t>
            </w:r>
          </w:p>
        </w:tc>
      </w:tr>
    </w:tbl>
    <w:p>
      <w:pPr>
        <w:numPr>
          <w:ilvl w:val="0"/>
          <w:numId w:val="188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政企客户电路故障率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本月TOP33重要客户真实故障共计发生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${TOP33_real}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宗故障，电路故障率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${TOP33_real_number_rate}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%。</w:t>
      </w:r>
    </w:p>
    <w:p>
      <w:pPr>
        <w:spacing w:before="0" w:after="0" w:line="360"/>
        <w:ind w:right="0" w:left="0" w:firstLine="42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表9 TOP33重要客户电路故障率</w:t>
      </w:r>
    </w:p>
    <w:tbl>
      <w:tblPr/>
      <w:tblGrid>
        <w:gridCol w:w="2045"/>
        <w:gridCol w:w="1843"/>
        <w:gridCol w:w="2399"/>
        <w:gridCol w:w="992"/>
        <w:gridCol w:w="1358"/>
        <w:gridCol w:w="688"/>
        <w:gridCol w:w="1369"/>
      </w:tblGrid>
      <w:tr>
        <w:trPr>
          <w:trHeight w:val="270" w:hRule="auto"/>
          <w:jc w:val="center"/>
          <w:cantSplit w:val="1"/>
        </w:trPr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故障单编号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客户名称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故障电路编号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故障率（本客户电路）</w:t>
            </w:r>
          </w:p>
        </w:tc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合计</w:t>
            </w:r>
          </w:p>
        </w:tc>
        <w:tc>
          <w:tcPr>
            <w:tcW w:w="1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故障率（所有客户）</w:t>
            </w:r>
          </w:p>
        </w:tc>
      </w:tr>
      <w:tr>
        <w:trPr>
          <w:trHeight w:val="270" w:hRule="auto"/>
          <w:jc w:val="center"/>
        </w:trPr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${TOP33NumberItem1}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${TOP33NumberItem1Name}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${TOP33NumberItem1Number}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${TOP33NumberItem1Sum}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${TOP33NumberItem1Rate}</w:t>
            </w:r>
          </w:p>
        </w:tc>
        <w:tc>
          <w:tcPr>
            <w:tcW w:w="6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${TOP33_real}</w:t>
            </w:r>
          </w:p>
        </w:tc>
        <w:tc>
          <w:tcPr>
            <w:tcW w:w="13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2"/>
                <w:shd w:fill="auto" w:val="clear"/>
              </w:rPr>
              <w:t xml:space="preserve">${TOP33_real_number_rate}%</w:t>
            </w:r>
          </w:p>
        </w:tc>
      </w:tr>
      <w:tr>
        <w:trPr>
          <w:trHeight w:val="270" w:hRule="auto"/>
          <w:jc w:val="center"/>
        </w:trPr>
        <w:tc>
          <w:tcPr>
            <w:tcW w:w="2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${TOP33NumberItem}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${TOP33NumberItemName}</w:t>
            </w:r>
          </w:p>
        </w:tc>
        <w:tc>
          <w:tcPr>
            <w:tcW w:w="2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${TOP33NumberItemNumber}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${TOP33NumberItemSum}</w:t>
            </w:r>
          </w:p>
        </w:tc>
        <w:tc>
          <w:tcPr>
            <w:tcW w:w="1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${TOP33NumberItemRate}</w:t>
            </w:r>
          </w:p>
        </w:tc>
        <w:tc>
          <w:tcPr>
            <w:tcW w:w="6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01"/>
        </w:numPr>
        <w:spacing w:before="260" w:after="0" w:line="415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政企客户故障处理恢复及时率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本月TOP33重要客户共计发生${TOP33_sum}宗故障，除去非联通责任故障，超时${TOP33_timeout}宗，预估故障恢复及时率${TOP33_timeout_rate}%。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表10 TOP33超时工单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${TOP33TimeoutItemReason}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3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政企网络指标预测</w:t>
      </w:r>
    </w:p>
    <w:p>
      <w:pPr>
        <w:numPr>
          <w:ilvl w:val="0"/>
          <w:numId w:val="213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责任故障重复次数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故障后，TOP33共${TOP33_assess_sum}宗故障工单，重复故障次数${TOP33_assess_repeat}次；除去非联通责任故障后，TOP800共${TOP800_assess_sum}宗故障工单，重复故障次数${TOP800_assess_repeat}次；除去非联通责任故障后，非TOP800共${NON_TOP800_assess_sum}宗故障工单，重复故障次数${NON_TOP800_assess_repeat}次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表10 重复故障工单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${NumberRepeatItemReason}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6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集团直管客户故障及时率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除去非联通责任故障后，本月累计${TOP210_assess_all_sum}宗故障，${TOP210_assess_all_timeout}宗超时，预估故障恢复及时率${TOP210_assess_all_timeout_detail}。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表11 TOP210超时故障工单</w:t>
      </w:r>
    </w:p>
    <w:tbl>
      <w:tblPr/>
      <w:tblGrid>
        <w:gridCol w:w="2122"/>
        <w:gridCol w:w="2551"/>
        <w:gridCol w:w="2416"/>
        <w:gridCol w:w="1553"/>
        <w:gridCol w:w="2251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业务恢复净历时（分钟）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${TOP210TimeoutItemNumber}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${TOP210TimeoutItemTime}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${TOP210TimeoutItemReason}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8"/>
        </w:numPr>
        <w:spacing w:before="260" w:after="0" w:line="360"/>
        <w:ind w:right="0" w:left="420" w:hanging="42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TOP800家1-2级客户故障及时率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除去非联通责任故障后，本月累计${TOP800_1_2_assess_all_sum}宗故障，超时${TOP800_1_2_assess_all_timeout}宗，预估故障恢复及时率${TOP800_1_2_assess_all_timeout_detail}。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表12 TOP800家1-2级客户故障超时工单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超时原因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${TOP800OneTwoTimeoutItemReason}</w:t>
            </w:r>
          </w:p>
        </w:tc>
      </w:tr>
    </w:tbl>
    <w:p>
      <w:pPr>
        <w:numPr>
          <w:ilvl w:val="0"/>
          <w:numId w:val="249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TOP800家3-6级客户故障及时率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除去非联通责任故障后，本月累计${TOP800_3_6_assess_all_sum}宗故障，超时${TOP800_3_6_assess_all_timeout}宗，预估故障恢复及时率${TOP800_3_6_assess_all_timeout_detail}。</w:t>
      </w:r>
    </w:p>
    <w:p>
      <w:pPr>
        <w:spacing w:before="0" w:after="0" w:line="360"/>
        <w:ind w:right="0" w:left="42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表12 TOP800家3-6级客户故障超时工单</w:t>
      </w:r>
    </w:p>
    <w:tbl>
      <w:tblPr/>
      <w:tblGrid>
        <w:gridCol w:w="2122"/>
        <w:gridCol w:w="2551"/>
        <w:gridCol w:w="2416"/>
        <w:gridCol w:w="1276"/>
        <w:gridCol w:w="2528"/>
      </w:tblGrid>
      <w:tr>
        <w:trPr>
          <w:trHeight w:val="270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故障单编号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客户名称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故障电路编号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业务恢复历时（分钟）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6b08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超时原因</w:t>
            </w:r>
          </w:p>
        </w:tc>
      </w:tr>
      <w:tr>
        <w:trPr>
          <w:trHeight w:val="255" w:hRule="auto"/>
          <w:jc w:val="center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${TOP800ThreeSixTimeoutItem}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${TOP800ThreeSixTimeoutItemName}</w:t>
            </w:r>
          </w:p>
        </w:tc>
        <w:tc>
          <w:tcPr>
            <w:tcW w:w="2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${TOP800ThreeSixTimeoutItemNumber}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${TOP800ThreeSixTimeoutItemTime}</w:t>
            </w:r>
          </w:p>
        </w:tc>
        <w:tc>
          <w:tcPr>
            <w:tcW w:w="2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${TOP800ThreeSixTimeoutItemReason}</w:t>
            </w:r>
          </w:p>
        </w:tc>
      </w:tr>
    </w:tbl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1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所有客户故障及时率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除去非联通责任故障后，本月累计${all_assess_all_sum}宗故障，超时${all_assess_all_timeout}宗，预估故障恢复及时率${all_assess_all_timeout_detail}。</w:t>
      </w:r>
    </w:p>
    <w:p>
      <w:pPr>
        <w:spacing w:before="0" w:after="0" w:line="240"/>
        <w:ind w:right="0" w:left="198" w:hanging="198"/>
        <w:jc w:val="center"/>
        <w:rPr>
          <w:rFonts w:ascii="黑体" w:hAnsi="黑体" w:cs="黑体" w:eastAsia="黑体"/>
          <w:color w:val="auto"/>
          <w:spacing w:val="0"/>
          <w:position w:val="0"/>
          <w:sz w:val="21"/>
          <w:shd w:fill="F6B083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21"/>
          <w:shd w:fill="auto" w:val="clear"/>
        </w:rPr>
        <w:t xml:space="preserve">表13本月政企客户超时工单</w:t>
      </w:r>
    </w:p>
    <w:tbl>
      <w:tblPr/>
      <w:tblGrid>
        <w:gridCol w:w="1855"/>
        <w:gridCol w:w="2251"/>
        <w:gridCol w:w="2966"/>
        <w:gridCol w:w="1553"/>
        <w:gridCol w:w="2268"/>
      </w:tblGrid>
      <w:tr>
        <w:trPr>
          <w:trHeight w:val="20" w:hRule="auto"/>
          <w:jc w:val="center"/>
          <w:cantSplit w:val="1"/>
        </w:trPr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故障单编号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客户名称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故障电路编号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业务恢复历时（分钟）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bf8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000000"/>
                <w:spacing w:val="0"/>
                <w:position w:val="0"/>
                <w:sz w:val="21"/>
                <w:shd w:fill="F6B083" w:val="clear"/>
              </w:rPr>
              <w:t xml:space="preserve">超时原因</w:t>
            </w:r>
          </w:p>
        </w:tc>
      </w:tr>
      <w:tr>
        <w:trPr>
          <w:trHeight w:val="20" w:hRule="auto"/>
          <w:jc w:val="center"/>
        </w:trPr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${TimeoutItem}</w:t>
            </w:r>
          </w:p>
        </w:tc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${TimeoutItemName}</w:t>
            </w:r>
          </w:p>
        </w:tc>
        <w:tc>
          <w:tcPr>
            <w:tcW w:w="2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${TimeoutItemNumber}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${TimeoutItemTime}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${TimeoutItemReason}</w:t>
            </w:r>
          </w:p>
        </w:tc>
      </w:tr>
    </w:tbl>
    <w:p>
      <w:pPr>
        <w:numPr>
          <w:ilvl w:val="0"/>
          <w:numId w:val="272"/>
        </w:numPr>
        <w:spacing w:before="260" w:after="0" w:line="360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4"/>
          <w:shd w:fill="auto" w:val="clear"/>
        </w:rPr>
        <w:t xml:space="preserve">TOP55客户故障量与平均历时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截止至${date_end},${year}年TOP55客户故障量累计${TOP55_sum}，平均历时${TOP55_time},${TOP55_detail}。</w:t>
      </w:r>
    </w:p>
    <w:p>
      <w:pPr>
        <w:spacing w:before="0" w:after="0" w:line="36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${TOP55_picture}</w:t>
      </w:r>
    </w:p>
    <w:p>
      <w:pPr>
        <w:numPr>
          <w:ilvl w:val="0"/>
          <w:numId w:val="275"/>
        </w:numPr>
        <w:spacing w:before="340" w:after="312" w:line="578"/>
        <w:ind w:right="0" w:left="420" w:hanging="420"/>
        <w:jc w:val="left"/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黑体" w:hAnsi="黑体" w:cs="黑体" w:eastAsia="黑体"/>
          <w:b/>
          <w:color w:val="auto"/>
          <w:spacing w:val="0"/>
          <w:position w:val="0"/>
          <w:sz w:val="28"/>
          <w:shd w:fill="auto" w:val="clear"/>
        </w:rPr>
        <w:t xml:space="preserve">典型案例分析</w:t>
      </w:r>
    </w:p>
    <w:p>
      <w:pPr>
        <w:spacing w:before="0" w:after="0" w:line="360"/>
        <w:ind w:right="0" w:left="0" w:firstLine="48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本月暂无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20">
    <w:abstractNumId w:val="120"/>
  </w:num>
  <w:num w:numId="25">
    <w:abstractNumId w:val="114"/>
  </w:num>
  <w:num w:numId="27">
    <w:abstractNumId w:val="108"/>
  </w:num>
  <w:num w:numId="30">
    <w:abstractNumId w:val="102"/>
  </w:num>
  <w:num w:numId="54">
    <w:abstractNumId w:val="96"/>
  </w:num>
  <w:num w:numId="95">
    <w:abstractNumId w:val="90"/>
  </w:num>
  <w:num w:numId="106">
    <w:abstractNumId w:val="84"/>
  </w:num>
  <w:num w:numId="110">
    <w:abstractNumId w:val="78"/>
  </w:num>
  <w:num w:numId="122">
    <w:abstractNumId w:val="72"/>
  </w:num>
  <w:num w:numId="163">
    <w:abstractNumId w:val="66"/>
  </w:num>
  <w:num w:numId="174">
    <w:abstractNumId w:val="60"/>
  </w:num>
  <w:num w:numId="178">
    <w:abstractNumId w:val="54"/>
  </w:num>
  <w:num w:numId="188">
    <w:abstractNumId w:val="48"/>
  </w:num>
  <w:num w:numId="201">
    <w:abstractNumId w:val="42"/>
  </w:num>
  <w:num w:numId="213">
    <w:abstractNumId w:val="36"/>
  </w:num>
  <w:num w:numId="226">
    <w:abstractNumId w:val="30"/>
  </w:num>
  <w:num w:numId="238">
    <w:abstractNumId w:val="24"/>
  </w:num>
  <w:num w:numId="249">
    <w:abstractNumId w:val="18"/>
  </w:num>
  <w:num w:numId="261">
    <w:abstractNumId w:val="12"/>
  </w:num>
  <w:num w:numId="272">
    <w:abstractNumId w:val="6"/>
  </w:num>
  <w:num w:numId="2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