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jc w:val="center"/>
      </w:pPr>
      <w:r>
        <w:rPr>
          <w:rFonts w:ascii="Sora" w:hAnsi="Sora"/>
          <w:b w:val="0"/>
          <w:color w:val="1155CC"/>
          <w:sz w:val="20"/>
        </w:rPr>
      </w:r>
    </w:p>
    <w:p>
      <w:pPr>
        <w:spacing w:before="0" w:after="200"/>
        <w:jc w:val="center"/>
      </w:pPr>
      <w:r>
        <w:rPr>
          <w:rFonts w:ascii="Sora" w:hAnsi="Sora"/>
          <w:b/>
          <w:color w:val="1155CC"/>
          <w:sz w:val="60"/>
        </w:rPr>
        <w:t>Validacion de pipeline -- BlazeDemo (dummy)</w:t>
      </w:r>
    </w:p>
    <w:p>
      <w:pPr>
        <w:spacing w:before="0" w:after="600"/>
        <w:jc w:val="center"/>
      </w:pPr>
      <w:r>
        <w:rPr>
          <w:rFonts w:ascii="Sora" w:hAnsi="Sora"/>
          <w:b w:val="0"/>
          <w:color w:val="1155CC"/>
          <w:sz w:val="32"/>
        </w:rPr>
        <w:t>Informe generado para confirmar que el mecanismo de Informe Final funciona de punta a punta</w:t>
      </w:r>
    </w:p>
    <w:p>
      <w:pPr>
        <w:spacing w:before="400" w:after="800"/>
        <w:jc w:val="center"/>
      </w:pPr>
      <w:r>
        <w:drawing>
          <wp:inline xmlns:a="http://schemas.openxmlformats.org/drawingml/2006/main" xmlns:pic="http://schemas.openxmlformats.org/drawingml/2006/picture">
            <wp:extent cx="2377440" cy="1471749"/>
            <wp:docPr id="1" name="Picture 1"/>
            <wp:cNvGraphicFramePr>
              <a:graphicFrameLocks noChangeAspect="1"/>
            </wp:cNvGraphicFramePr>
            <a:graphic>
              <a:graphicData uri="http://schemas.openxmlformats.org/drawingml/2006/picture">
                <pic:pic>
                  <pic:nvPicPr>
                    <pic:cNvPr id="0" name="logo-mercap.png"/>
                    <pic:cNvPicPr/>
                  </pic:nvPicPr>
                  <pic:blipFill>
                    <a:blip r:embed="rId9"/>
                    <a:stretch>
                      <a:fillRect/>
                    </a:stretch>
                  </pic:blipFill>
                  <pic:spPr>
                    <a:xfrm>
                      <a:off x="0" y="0"/>
                      <a:ext cx="2377440" cy="1471749"/>
                    </a:xfrm>
                    <a:prstGeom prst="rect"/>
                  </pic:spPr>
                </pic:pic>
              </a:graphicData>
            </a:graphic>
          </wp:inline>
        </w:drawing>
      </w:r>
    </w:p>
    <w:p>
      <w:pPr>
        <w:pStyle w:val="Heading1"/>
        <w:pageBreakBefore/>
      </w:pPr>
      <w:r>
        <w:t>Índice</w:t>
      </w:r>
    </w:p>
    <w:p>
      <w:pPr>
        <w:pStyle w:val="ListBullet"/>
      </w:pPr>
      <w:hyperlink w:anchor="sec_resumen">
        <w:r>
          <w:rPr>
            <w:rFonts w:ascii="Sora" w:hAnsi="Sora"/>
            <w:color w:val="1155CC"/>
            <w:u w:val="single"/>
          </w:rPr>
          <w:t xml:space="preserve">01. Resumen</w:t>
        </w:r>
      </w:hyperlink>
    </w:p>
    <w:p>
      <w:pPr>
        <w:pStyle w:val="ListBullet"/>
      </w:pPr>
      <w:hyperlink w:anchor="sec_objetivo">
        <w:r>
          <w:rPr>
            <w:rFonts w:ascii="Sora" w:hAnsi="Sora"/>
            <w:color w:val="1155CC"/>
            <w:u w:val="single"/>
          </w:rPr>
          <w:t xml:space="preserve">02. Objetivo</w:t>
        </w:r>
      </w:hyperlink>
    </w:p>
    <w:p>
      <w:pPr>
        <w:pStyle w:val="ListBullet"/>
      </w:pPr>
      <w:hyperlink w:anchor="sec_plan">
        <w:r>
          <w:rPr>
            <w:rFonts w:ascii="Sora" w:hAnsi="Sora"/>
            <w:color w:val="1155CC"/>
            <w:u w:val="single"/>
          </w:rPr>
          <w:t xml:space="preserve">03. Plan de pruebas</w:t>
        </w:r>
      </w:hyperlink>
    </w:p>
    <w:p>
      <w:pPr>
        <w:pStyle w:val="ListBullet"/>
      </w:pPr>
      <w:hyperlink w:anchor="sec_resultados">
        <w:r>
          <w:rPr>
            <w:rFonts w:ascii="Sora" w:hAnsi="Sora"/>
            <w:color w:val="1155CC"/>
            <w:u w:val="single"/>
          </w:rPr>
          <w:t xml:space="preserve">04. Resultados</w:t>
        </w:r>
      </w:hyperlink>
    </w:p>
    <w:p>
      <w:pPr>
        <w:pStyle w:val="ListBullet"/>
      </w:pPr>
      <w:hyperlink w:anchor="sec_conclusiones">
        <w:r>
          <w:rPr>
            <w:rFonts w:ascii="Sora" w:hAnsi="Sora"/>
            <w:color w:val="1155CC"/>
            <w:u w:val="single"/>
          </w:rPr>
          <w:t xml:space="preserve">05. Conclusiones</w:t>
        </w:r>
      </w:hyperlink>
    </w:p>
    <w:p>
      <w:pPr>
        <w:pStyle w:val="ListBullet"/>
      </w:pPr>
      <w:hyperlink w:anchor="sec_observaciones">
        <w:r>
          <w:rPr>
            <w:rFonts w:ascii="Sora" w:hAnsi="Sora"/>
            <w:color w:val="1155CC"/>
            <w:u w:val="single"/>
          </w:rPr>
          <w:t xml:space="preserve">06. Observaciones</w:t>
        </w:r>
      </w:hyperlink>
    </w:p>
    <w:p>
      <w:pPr>
        <w:pStyle w:val="ListBullet"/>
      </w:pPr>
      <w:hyperlink w:anchor="sec_glosario">
        <w:r>
          <w:rPr>
            <w:rFonts w:ascii="Sora" w:hAnsi="Sora"/>
            <w:color w:val="1155CC"/>
            <w:u w:val="single"/>
          </w:rPr>
          <w:t xml:space="preserve">07. Glosario</w:t>
        </w:r>
      </w:hyperlink>
    </w:p>
    <w:p>
      <w:pPr>
        <w:pStyle w:val="Heading1"/>
        <w:pageBreakBefore/>
      </w:pPr>
      <w:bookmarkStart w:id="5936" w:name="sec_resumen"/>
      <w:r>
        <w:t>01. Resumen</w:t>
      </w:r>
      <w:bookmarkEnd w:id="5936"/>
    </w:p>
    <w:p>
      <w:r>
        <w:t>Se realizó una campaña de pruebas de carga sobre el entorno blazedemo para el cliente dummy, con el objetivo de validar el funcionamiento del job de Jenkins, incluyendo la generación del informe final. La campaña abarcó los servicios GET /, GET /login, GET /reserve.php y GET /vacation.html. Se probaron dos versiones del producto, build-80 y build-83, logrando sostener el nivel de carga 'Base (validacion minima)'. La versión build-83 mostró una performance aceptable en comparación con la anterior, aunque con un leve incremento en el P95 promedio y la aparición de un error_rate.</w:t>
      </w:r>
    </w:p>
    <w:p>
      <w:pPr>
        <w:pStyle w:val="Heading1"/>
      </w:pPr>
      <w:bookmarkStart w:id="30874" w:name="sec_objetivo"/>
      <w:r>
        <w:t>02. Objetivo</w:t>
      </w:r>
      <w:bookmarkEnd w:id="30874"/>
    </w:p>
    <w:p>
      <w:r>
        <w:t>Este NO es un informe de negocio real. El cliente 'dummy' corre contra el sitio publico blazedemo.com para validar que el job de Jenkins -- incluido el checkbox 'Generar Informe Final' -- funciona de punta a punta, sin depender de un ambiente real de Unitrade ni de credenciales.</w:t>
      </w:r>
    </w:p>
    <w:p>
      <w:pPr>
        <w:pStyle w:val="Heading1"/>
      </w:pPr>
      <w:bookmarkStart w:id="9503" w:name="sec_plan"/>
      <w:r>
        <w:t>03. Plan de pruebas</w:t>
      </w:r>
      <w:bookmarkEnd w:id="9503"/>
    </w:p>
    <w:p>
      <w:pPr>
        <w:pStyle w:val="Heading2"/>
      </w:pPr>
      <w:r>
        <w:t>Scope</w:t>
      </w:r>
    </w:p>
    <w:p>
      <w:pPr>
        <w:pStyle w:val="ListBullet"/>
      </w:pPr>
      <w:r>
        <w:t>GET / — home de BlazeDemo</w:t>
      </w:r>
    </w:p>
    <w:p>
      <w:pPr>
        <w:pStyle w:val="ListBullet"/>
      </w:pPr>
      <w:r>
        <w:t>GET /login — pagina de login de BlazeDemo</w:t>
      </w:r>
    </w:p>
    <w:p>
      <w:pPr>
        <w:pStyle w:val="ListBullet"/>
      </w:pPr>
      <w:r>
        <w:t>GET /reserve.php — pagina de reserva de vuelos de BlazeDemo</w:t>
      </w:r>
    </w:p>
    <w:p>
      <w:pPr>
        <w:pStyle w:val="ListBullet"/>
      </w:pPr>
      <w:r>
        <w:t>GET /vacation.html — pagina de promociones de BlazeDemo</w:t>
      </w:r>
    </w:p>
    <w:p>
      <w:pPr>
        <w:pStyle w:val="Heading2"/>
      </w:pPr>
      <w:r>
        <w:t>Escenarios</w:t>
      </w:r>
    </w:p>
    <w:p>
      <w:r>
        <w:t>Estructura de cada escenario: Ramp-up: 15s, Sustain: load.duration.seconds (default 60s), Ramp-down: 15s.</w:t>
      </w:r>
    </w:p>
    <w:p>
      <w:r>
        <w:t>Pruebas de carga sistémica: Un unico CTG con las 4 paginas de BlazeDemo en paralelo, a TPS minimo (ver config/load-levels/dummy.json) para no generar carga real sobre un sitio publico de terceros.</w:t>
      </w:r>
    </w:p>
    <w:p>
      <w:r>
        <w:t>Duración de cada prueba: ~2 minutos por nivel (deliberadamente corto -- valida el pipeline, no busca un tope de capacidad).</w:t>
      </w:r>
    </w:p>
    <w:p>
      <w:pPr>
        <w:pStyle w:val="Heading1"/>
      </w:pPr>
      <w:bookmarkStart w:id="68610" w:name="sec_resultados"/>
      <w:r>
        <w:t>04. Resultados</w:t>
      </w:r>
      <w:bookmarkEnd w:id="68610"/>
    </w:p>
    <w:p>
      <w:r>
        <w:t>A continuación se presentan los resultados obtenidos por versión en la prueba de carga sistémica, seguidos de la comparativa entre versiones y la proyección de capacidad.</w:t>
      </w:r>
    </w:p>
    <w:p>
      <w:pPr>
        <w:pStyle w:val="ListBullet"/>
      </w:pPr>
      <w:r>
        <w:rPr>
          <w:b/>
        </w:rPr>
        <w:t xml:space="preserve">Versión build-80: </w:t>
      </w:r>
      <w:r>
        <w:t xml:space="preserve">error rate 0.0%, P95 promedio 402.6 ms, P99 361.4 ms, throughput 2.8 TPS (1 corrida(s)). </w:t>
      </w:r>
    </w:p>
    <w:p>
      <w:pPr>
        <w:pStyle w:val="ListBullet"/>
      </w:pPr>
      <w:r>
        <w:rPr>
          <w:b/>
        </w:rPr>
        <w:t xml:space="preserve">Versión build-83: </w:t>
      </w:r>
      <w:r>
        <w:t xml:space="preserve">error rate 0.39%, P95 promedio 408.4 ms, P99 394.5 ms, throughput 2.8 TPS (1 corrida(s)). </w:t>
      </w:r>
    </w:p>
    <w:p>
      <w:pPr>
        <w:pStyle w:val="Heading2"/>
        <w:keepNext/>
      </w:pPr>
      <w:r>
        <w:t>Comparativa de versiones</w:t>
      </w:r>
    </w:p>
    <w:tbl>
      <w:tblPr>
        <w:tblStyle w:val="LightGrid-Accent1"/>
        <w:tblW w:type="auto" w:w="0"/>
        <w:tblLook w:firstColumn="1" w:firstRow="1" w:lastColumn="0" w:lastRow="0" w:noHBand="0" w:noVBand="1" w:val="04A0"/>
      </w:tblPr>
      <w:tblGrid>
        <w:gridCol w:w="2160"/>
        <w:gridCol w:w="2160"/>
        <w:gridCol w:w="2160"/>
        <w:gridCol w:w="2160"/>
      </w:tblGrid>
      <w:tr>
        <w:trPr>
          <w:cantSplit/>
        </w:trPr>
        <w:tc>
          <w:tcPr>
            <w:tcW w:type="dxa" w:w="2160"/>
          </w:tcPr>
          <w:p>
            <w:pPr>
              <w:keepNext/>
            </w:pPr>
            <w:r>
              <w:rPr>
                <w:rFonts w:ascii="Sora" w:hAnsi="Sora"/>
                <w:b/>
                <w:sz w:val="22"/>
              </w:rPr>
              <w:t>Métrica</w:t>
            </w:r>
          </w:p>
        </w:tc>
        <w:tc>
          <w:tcPr>
            <w:tcW w:type="dxa" w:w="2160"/>
          </w:tcPr>
          <w:p>
            <w:pPr>
              <w:keepNext/>
            </w:pPr>
            <w:r>
              <w:rPr>
                <w:rFonts w:ascii="Sora" w:hAnsi="Sora"/>
                <w:b/>
                <w:sz w:val="22"/>
              </w:rPr>
              <w:t>vbuild-80</w:t>
            </w:r>
          </w:p>
        </w:tc>
        <w:tc>
          <w:tcPr>
            <w:tcW w:type="dxa" w:w="2160"/>
          </w:tcPr>
          <w:p>
            <w:pPr>
              <w:keepNext/>
            </w:pPr>
            <w:r>
              <w:rPr>
                <w:rFonts w:ascii="Sora" w:hAnsi="Sora"/>
                <w:b/>
                <w:sz w:val="22"/>
              </w:rPr>
              <w:t>vbuild-83</w:t>
            </w:r>
          </w:p>
        </w:tc>
        <w:tc>
          <w:tcPr>
            <w:tcW w:type="dxa" w:w="2160"/>
          </w:tcPr>
          <w:p>
            <w:pPr>
              <w:keepNext/>
            </w:pPr>
            <w:r>
              <w:rPr>
                <w:rFonts w:ascii="Sora" w:hAnsi="Sora"/>
                <w:b/>
                <w:sz w:val="22"/>
              </w:rPr>
              <w:t>Resultado vbuild-83</w:t>
            </w:r>
          </w:p>
        </w:tc>
      </w:tr>
      <w:tr>
        <w:trPr>
          <w:cantSplit/>
        </w:trPr>
        <w:tc>
          <w:tcPr>
            <w:tcW w:type="dxa" w:w="2160"/>
          </w:tcPr>
          <w:p>
            <w:pPr>
              <w:keepNext/>
            </w:pPr>
            <w:r>
              <w:rPr>
                <w:rFonts w:ascii="Sora" w:hAnsi="Sora"/>
                <w:sz w:val="22"/>
              </w:rPr>
              <w:t>Error rate</w:t>
            </w:r>
          </w:p>
        </w:tc>
        <w:tc>
          <w:tcPr>
            <w:tcW w:type="dxa" w:w="2160"/>
          </w:tcPr>
          <w:p>
            <w:pPr>
              <w:keepNext/>
            </w:pPr>
            <w:r>
              <w:rPr>
                <w:rFonts w:ascii="Sora" w:hAnsi="Sora"/>
                <w:sz w:val="22"/>
              </w:rPr>
              <w:t>0.0%</w:t>
            </w:r>
          </w:p>
        </w:tc>
        <w:tc>
          <w:tcPr>
            <w:tcW w:type="dxa" w:w="2160"/>
          </w:tcPr>
          <w:p>
            <w:pPr>
              <w:keepNext/>
            </w:pPr>
            <w:r>
              <w:rPr>
                <w:rFonts w:ascii="Sora" w:hAnsi="Sora"/>
                <w:sz w:val="22"/>
              </w:rPr>
              <w:t>0.39%</w:t>
            </w:r>
          </w:p>
        </w:tc>
        <w:tc>
          <w:tcPr>
            <w:tcW w:type="dxa" w:w="2160"/>
          </w:tcPr>
          <w:p>
            <w:pPr>
              <w:keepNext/>
            </w:pPr>
            <w:r>
              <w:rPr>
                <w:rFonts w:ascii="Sora" w:hAnsi="Sora"/>
                <w:sz w:val="22"/>
              </w:rPr>
              <w:t>—</w:t>
            </w:r>
          </w:p>
        </w:tc>
      </w:tr>
      <w:tr>
        <w:trPr>
          <w:cantSplit/>
        </w:trPr>
        <w:tc>
          <w:tcPr>
            <w:tcW w:type="dxa" w:w="2160"/>
          </w:tcPr>
          <w:p>
            <w:pPr>
              <w:keepNext/>
            </w:pPr>
            <w:r>
              <w:rPr>
                <w:rFonts w:ascii="Sora" w:hAnsi="Sora"/>
                <w:sz w:val="22"/>
              </w:rPr>
              <w:t>P95 promedio</w:t>
            </w:r>
          </w:p>
        </w:tc>
        <w:tc>
          <w:tcPr>
            <w:tcW w:type="dxa" w:w="2160"/>
          </w:tcPr>
          <w:p>
            <w:pPr>
              <w:keepNext/>
            </w:pPr>
            <w:r>
              <w:rPr>
                <w:rFonts w:ascii="Sora" w:hAnsi="Sora"/>
                <w:sz w:val="22"/>
              </w:rPr>
              <w:t>402.6 ms</w:t>
            </w:r>
          </w:p>
        </w:tc>
        <w:tc>
          <w:tcPr>
            <w:tcW w:type="dxa" w:w="2160"/>
          </w:tcPr>
          <w:p>
            <w:pPr>
              <w:keepNext/>
            </w:pPr>
            <w:r>
              <w:rPr>
                <w:rFonts w:ascii="Sora" w:hAnsi="Sora"/>
                <w:sz w:val="22"/>
              </w:rPr>
              <w:t>408.4 ms</w:t>
            </w:r>
          </w:p>
        </w:tc>
        <w:tc>
          <w:tcPr>
            <w:tcW w:type="dxa" w:w="2160"/>
          </w:tcPr>
          <w:p>
            <w:pPr>
              <w:keepNext/>
            </w:pPr>
            <w:r>
              <w:rPr>
                <w:rFonts w:ascii="Sora" w:hAnsi="Sora"/>
                <w:sz w:val="22"/>
              </w:rPr>
              <w:t>Similar</w:t>
            </w:r>
          </w:p>
        </w:tc>
      </w:tr>
      <w:tr>
        <w:trPr>
          <w:cantSplit/>
        </w:trPr>
        <w:tc>
          <w:tcPr>
            <w:tcW w:type="dxa" w:w="2160"/>
          </w:tcPr>
          <w:p>
            <w:pPr>
              <w:keepNext/>
            </w:pPr>
            <w:r>
              <w:rPr>
                <w:rFonts w:ascii="Sora" w:hAnsi="Sora"/>
                <w:sz w:val="22"/>
              </w:rPr>
              <w:t>P99</w:t>
            </w:r>
          </w:p>
        </w:tc>
        <w:tc>
          <w:tcPr>
            <w:tcW w:type="dxa" w:w="2160"/>
          </w:tcPr>
          <w:p>
            <w:pPr>
              <w:keepNext/>
            </w:pPr>
            <w:r>
              <w:rPr>
                <w:rFonts w:ascii="Sora" w:hAnsi="Sora"/>
                <w:sz w:val="22"/>
              </w:rPr>
              <w:t>361.4 ms</w:t>
            </w:r>
          </w:p>
        </w:tc>
        <w:tc>
          <w:tcPr>
            <w:tcW w:type="dxa" w:w="2160"/>
          </w:tcPr>
          <w:p>
            <w:pPr>
              <w:keepNext/>
            </w:pPr>
            <w:r>
              <w:rPr>
                <w:rFonts w:ascii="Sora" w:hAnsi="Sora"/>
                <w:sz w:val="22"/>
              </w:rPr>
              <w:t>394.5 ms</w:t>
            </w:r>
          </w:p>
        </w:tc>
        <w:tc>
          <w:tcPr>
            <w:tcW w:type="dxa" w:w="2160"/>
          </w:tcPr>
          <w:p>
            <w:pPr>
              <w:keepNext/>
            </w:pPr>
            <w:r>
              <w:rPr>
                <w:rFonts w:ascii="Sora" w:hAnsi="Sora"/>
                <w:sz w:val="22"/>
              </w:rPr>
              <w:t>Peor</w:t>
            </w:r>
          </w:p>
        </w:tc>
      </w:tr>
      <w:tr>
        <w:trPr>
          <w:cantSplit/>
        </w:trPr>
        <w:tc>
          <w:tcPr>
            <w:tcW w:type="dxa" w:w="2160"/>
          </w:tcPr>
          <w:p>
            <w:r>
              <w:rPr>
                <w:rFonts w:ascii="Sora" w:hAnsi="Sora"/>
                <w:sz w:val="22"/>
              </w:rPr>
              <w:t>Throughput</w:t>
            </w:r>
          </w:p>
        </w:tc>
        <w:tc>
          <w:tcPr>
            <w:tcW w:type="dxa" w:w="2160"/>
          </w:tcPr>
          <w:p>
            <w:r>
              <w:rPr>
                <w:rFonts w:ascii="Sora" w:hAnsi="Sora"/>
                <w:sz w:val="22"/>
              </w:rPr>
              <w:t>2.8 TPS</w:t>
            </w:r>
          </w:p>
        </w:tc>
        <w:tc>
          <w:tcPr>
            <w:tcW w:type="dxa" w:w="2160"/>
          </w:tcPr>
          <w:p>
            <w:r>
              <w:rPr>
                <w:rFonts w:ascii="Sora" w:hAnsi="Sora"/>
                <w:sz w:val="22"/>
              </w:rPr>
              <w:t>2.8 TPS</w:t>
            </w:r>
          </w:p>
        </w:tc>
        <w:tc>
          <w:tcPr>
            <w:tcW w:type="dxa" w:w="2160"/>
          </w:tcPr>
          <w:p>
            <w:r>
              <w:rPr>
                <w:rFonts w:ascii="Sora" w:hAnsi="Sora"/>
                <w:sz w:val="22"/>
              </w:rPr>
              <w:t>Similar</w:t>
            </w:r>
          </w:p>
        </w:tc>
      </w:tr>
    </w:tbl>
    <w:p>
      <w:r>
        <w:t>La versión build-83 exhibió una performance aceptable en comparación con la build-80, con un delta promedio del 2.1% en las métricas clave. Si bien el throughput se mantuvo en 2.8 TPS para ambas versiones, se observó un ligero incremento en el P95 promedio, pasando de 402.6 ms en build-80 a 408.4 ms en build-83. Adicionalmente, la versión build-83 introdujo un error_rate del 0.39%, mientras que la versión build-80 no presentó errores.</w:t>
      </w:r>
    </w:p>
    <w:p>
      <w:r>
        <w:rPr>
          <w:b/>
        </w:rPr>
        <w:t xml:space="preserve">Veredicto de la versión build-83: </w:t>
      </w:r>
      <w:r>
        <w:t>ACEPTABLE. Performance equivalente a la versión anterior. Delta promedio: 2.1%.</w:t>
      </w:r>
    </w:p>
    <w:p>
      <w:pPr>
        <w:pStyle w:val="Heading2"/>
      </w:pPr>
      <w:r>
        <w:t>Alertas y hallazgos</w:t>
      </w:r>
    </w:p>
    <w:p>
      <w:pPr>
        <w:pStyle w:val="ListBullet"/>
      </w:pPr>
      <w:r>
        <w:t>Cumplimiento de SLA: todos los servicios evaluados dentro del umbral.</w:t>
      </w:r>
    </w:p>
    <w:p>
      <w:pPr>
        <w:pStyle w:val="Heading1"/>
      </w:pPr>
      <w:bookmarkStart w:id="80689" w:name="sec_conclusiones"/>
      <w:r>
        <w:t>05. Conclusiones</w:t>
      </w:r>
      <w:bookmarkEnd w:id="80689"/>
    </w:p>
    <w:p>
      <w:pPr>
        <w:pStyle w:val="ListBullet"/>
      </w:pPr>
      <w:r>
        <w:t>La campaña de pruebas de carga se ejecutó exitosamente, validando el funcionamiento del job de Jenkins contra el entorno blazedemo.</w:t>
      </w:r>
    </w:p>
    <w:p>
      <w:pPr>
        <w:pStyle w:val="ListBullet"/>
      </w:pPr>
      <w:r>
        <w:t>La versión build-83 exhibió un leve incremento en el P95 promedio y la aparición de un error_rate del 0.39% en comparación con la versión build-80, que no presentó errores.</w:t>
      </w:r>
    </w:p>
    <w:p>
      <w:pPr>
        <w:pStyle w:val="ListBullet"/>
      </w:pPr>
      <w:r>
        <w:t>El entorno de prueba utilizado no corresponde a un ambiente productivo de Unitrade, y los resultados deben interpretarse en el contexto de la validación del proceso de Jenkins.</w:t>
      </w:r>
    </w:p>
    <w:p>
      <w:pPr>
        <w:pStyle w:val="ListBullet"/>
      </w:pPr>
      <w:r>
        <w:t>Se logró sostener el nivel de carga 'Base (validacion minima)' según lo planificado para esta campaña de validación.</w:t>
      </w:r>
    </w:p>
    <w:p>
      <w:pPr>
        <w:pStyle w:val="ListBullet"/>
      </w:pPr>
      <w:r>
        <w:t>El servicio GET / mostró el P95 más elevado (626.6 ms) y el mayor error_rate (1.54%) en la versión build-83, lo cual podría requerir monitoreo en futuras pruebas.</w:t>
      </w:r>
    </w:p>
    <w:p>
      <w:r>
        <w:rPr>
          <w:b/>
        </w:rPr>
        <w:t xml:space="preserve">Veredicto general: </w:t>
      </w:r>
      <w:r>
        <w:t>La versión build-83 presenta una performance aceptable, equivalente a la versión anterior con un delta promedio del 2.1%, aunque con un leve aumento en el P95 y la aparición de un error_rate.</w:t>
      </w:r>
    </w:p>
    <w:p>
      <w:pPr>
        <w:pStyle w:val="Heading1"/>
      </w:pPr>
      <w:bookmarkStart w:id="2414" w:name="sec_observaciones"/>
      <w:r>
        <w:t>06. Observaciones</w:t>
      </w:r>
      <w:bookmarkEnd w:id="2414"/>
    </w:p>
    <w:p>
      <w:pPr>
        <w:pStyle w:val="ListBullet"/>
      </w:pPr>
      <w:r>
        <w:t>Este informe es un artefacto de validacion del pipeline de CI/CD, no un entregable de negocio -- no usar como referencia de SLA real ni compartir con un cliente.</w:t>
      </w:r>
    </w:p>
    <w:p>
      <w:pPr>
        <w:pStyle w:val="ListBullet"/>
      </w:pPr>
      <w:r>
        <w:t>Los servicios GET /login, GET /reserve.php y GET /vacation.html mantuvieron un P95 inferior a 352 ms y un error_rate del 0.0% en la versión build-83, mostrando un comportamiento estable.</w:t>
      </w:r>
    </w:p>
    <w:p>
      <w:pPr>
        <w:pStyle w:val="Heading1"/>
        <w:pageBreakBefore/>
      </w:pPr>
      <w:bookmarkStart w:id="10932" w:name="sec_glosario"/>
      <w:r>
        <w:t>07. Glosario</w:t>
      </w:r>
      <w:bookmarkEnd w:id="10932"/>
    </w:p>
    <w:p>
      <w:pPr>
        <w:pStyle w:val="ListBullet"/>
      </w:pPr>
      <w:r>
        <w:rPr>
          <w:b/>
        </w:rPr>
        <w:t xml:space="preserve">Sustain: </w:t>
      </w:r>
      <w:r>
        <w:t>Tiempo de duración de la carga de forma sostenida.</w:t>
      </w:r>
    </w:p>
    <w:p>
      <w:pPr>
        <w:pStyle w:val="ListBullet"/>
      </w:pPr>
      <w:r>
        <w:rPr>
          <w:b/>
        </w:rPr>
        <w:t xml:space="preserve">Ramp-up: </w:t>
      </w:r>
      <w:r>
        <w:t>Tiempo de subida hacia la carga objetivo.</w:t>
      </w:r>
    </w:p>
    <w:p>
      <w:pPr>
        <w:pStyle w:val="ListBullet"/>
      </w:pPr>
      <w:r>
        <w:rPr>
          <w:b/>
        </w:rPr>
        <w:t xml:space="preserve">Ramp-down: </w:t>
      </w:r>
      <w:r>
        <w:t>Tiempo de bajada de la carga sostenida hasta cero.</w:t>
      </w:r>
    </w:p>
    <w:p>
      <w:pPr>
        <w:pStyle w:val="ListBullet"/>
      </w:pPr>
      <w:r>
        <w:rPr>
          <w:b/>
        </w:rPr>
        <w:t xml:space="preserve">TPS (transacciones por segundo): </w:t>
      </w:r>
      <w:r>
        <w:t>Índice de performance que relaciona la cantidad de transacciones realizadas en 1 segundo (throughput). Es un indicador clave en las pruebas de performance.</w:t>
      </w:r>
    </w:p>
    <w:p>
      <w:pPr>
        <w:pStyle w:val="ListBullet"/>
      </w:pPr>
      <w:r>
        <w:rPr>
          <w:b/>
        </w:rPr>
        <w:t xml:space="preserve">Percentil 95 (P95): </w:t>
      </w:r>
      <w:r>
        <w:t>Valor bajo el cual se encuentran el 95% de las muestras: el 95% de los tiempos medidos fueron iguales o menores a ese valor. Representa cómo experimentan la mayoría de los usuarios la aplicación, sin dejarse llevar por valores atípicos como el promedio.</w:t>
      </w:r>
    </w:p>
    <w:p>
      <w:pPr>
        <w:pStyle w:val="ListBullet"/>
      </w:pPr>
      <w:r>
        <w:rPr>
          <w:b/>
        </w:rPr>
        <w:t xml:space="preserve">Prueba de carga sistémica: </w:t>
      </w:r>
      <w:r>
        <w:t>Prueba donde se simula tráfico concurrente sobre todos los servicios del sistema en conjunto, para evaluar su comportamiento global bajo carga.</w:t>
      </w:r>
    </w:p>
    <w:p>
      <w:pPr>
        <w:pStyle w:val="ListBullet"/>
      </w:pPr>
      <w:r>
        <w:rPr>
          <w:b/>
        </w:rPr>
        <w:t xml:space="preserve">CTG (Concurrency Thread Group): </w:t>
      </w:r>
      <w:r>
        <w:t>Componente de JMeter que controla la cantidad de usuarios concurrentes activos en cada momento de la prueba.</w:t>
      </w:r>
    </w:p>
    <w:p>
      <w:pPr>
        <w:pStyle w:val="ListBullet"/>
      </w:pPr>
      <w:r>
        <w:rPr>
          <w:b/>
        </w:rPr>
        <w:t xml:space="preserve">TST (Throughput Shaping Timer): </w:t>
      </w:r>
      <w:r>
        <w:t>Temporizador que regula la cantidad de solicitudes por segundo (throughput/TPS) enviadas al sistema, para simular patrones de carga específicos.</w:t>
      </w:r>
    </w:p>
    <w:sectPr w:rsidR="00FC693F" w:rsidRPr="0006063C" w:rsidSect="00034616">
      <w:footerReference w:type="first" r:id="rId10"/>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ora" w:hAnsi="Sora"/>
        <w:b/>
        <w:color w:val="1155CC"/>
        <w:sz w:val="28"/>
      </w:rPr>
      <w:t>Julio 2026</w:t>
      <w:br/>
    </w:r>
    <w:r>
      <w:rPr>
        <w:rFonts w:ascii="Sora" w:hAnsi="Sora"/>
        <w:sz w:val="24"/>
      </w:rPr>
      <w:t>Equipo de Performance - Mercap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ra" w:hAnsi="Sora" w:cs="Sor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ra" w:hAnsi="Sora" w:cs="Sora"/>
      <w:b/>
      <w:bCs/>
      <w:color w:val="1155C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ra" w:hAnsi="Sora" w:cs="Sora"/>
      <w:b/>
      <w:bCs/>
      <w:color w:val="1155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ra" w:hAnsi="Sora" w:cs="Sora"/>
    </w:rPr>
  </w:style>
  <w:style w:type="paragraph" w:styleId="ListBullet2">
    <w:name w:val="List Bullet 2"/>
    <w:basedOn w:val="Normal"/>
    <w:uiPriority w:val="99"/>
    <w:unhideWhenUsed/>
    <w:rsid w:val="00326F90"/>
    <w:pPr>
      <w:numPr>
        <w:numId w:val="2"/>
      </w:numPr>
      <w:contextualSpacing/>
    </w:pPr>
    <w:rPr>
      <w:rFonts w:ascii="Sora" w:hAnsi="Sora" w:cs="Sora"/>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