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0"/>
        <w:jc w:val="center"/>
      </w:pPr>
      <w:r>
        <w:rPr>
          <w:rFonts w:ascii="Sora" w:hAnsi="Sora"/>
          <w:b w:val="0"/>
          <w:color w:val="1155CC"/>
          <w:sz w:val="20"/>
        </w:rPr>
      </w:r>
    </w:p>
    <w:p>
      <w:pPr>
        <w:spacing w:before="0" w:after="200"/>
        <w:jc w:val="center"/>
      </w:pPr>
      <w:r>
        <w:rPr>
          <w:rFonts w:ascii="Sora" w:hAnsi="Sora"/>
          <w:b/>
          <w:color w:val="1155CC"/>
          <w:sz w:val="60"/>
        </w:rPr>
        <w:t>Validacion de pipeline -- BlazeDemo (dummy)</w:t>
      </w:r>
    </w:p>
    <w:p>
      <w:pPr>
        <w:spacing w:before="0" w:after="600"/>
        <w:jc w:val="center"/>
      </w:pPr>
      <w:r>
        <w:rPr>
          <w:rFonts w:ascii="Sora" w:hAnsi="Sora"/>
          <w:b w:val="0"/>
          <w:color w:val="1155CC"/>
          <w:sz w:val="32"/>
        </w:rPr>
        <w:t>Informe generado para confirmar que el mecanismo de Informe Final funciona de punta a punta</w:t>
      </w:r>
    </w:p>
    <w:p>
      <w:pPr>
        <w:spacing w:before="400" w:after="800"/>
        <w:jc w:val="center"/>
      </w:pPr>
      <w:r>
        <w:drawing>
          <wp:inline xmlns:a="http://schemas.openxmlformats.org/drawingml/2006/main" xmlns:pic="http://schemas.openxmlformats.org/drawingml/2006/picture">
            <wp:extent cx="2377440" cy="1471749"/>
            <wp:docPr id="1" name="Picture 1"/>
            <wp:cNvGraphicFramePr>
              <a:graphicFrameLocks noChangeAspect="1"/>
            </wp:cNvGraphicFramePr>
            <a:graphic>
              <a:graphicData uri="http://schemas.openxmlformats.org/drawingml/2006/picture">
                <pic:pic>
                  <pic:nvPicPr>
                    <pic:cNvPr id="0" name="logo-mercap.png"/>
                    <pic:cNvPicPr/>
                  </pic:nvPicPr>
                  <pic:blipFill>
                    <a:blip r:embed="rId9"/>
                    <a:stretch>
                      <a:fillRect/>
                    </a:stretch>
                  </pic:blipFill>
                  <pic:spPr>
                    <a:xfrm>
                      <a:off x="0" y="0"/>
                      <a:ext cx="2377440" cy="1471749"/>
                    </a:xfrm>
                    <a:prstGeom prst="rect"/>
                  </pic:spPr>
                </pic:pic>
              </a:graphicData>
            </a:graphic>
          </wp:inline>
        </w:drawing>
      </w:r>
    </w:p>
    <w:p>
      <w:pPr>
        <w:pStyle w:val="Heading1"/>
        <w:pageBreakBefore/>
      </w:pPr>
      <w:r>
        <w:t>Índice</w:t>
      </w:r>
    </w:p>
    <w:p>
      <w:pPr>
        <w:pStyle w:val="ListBullet"/>
      </w:pPr>
      <w:hyperlink w:anchor="sec_resumen">
        <w:r>
          <w:rPr>
            <w:rFonts w:ascii="Sora" w:hAnsi="Sora"/>
            <w:color w:val="1155CC"/>
            <w:u w:val="single"/>
          </w:rPr>
          <w:t xml:space="preserve">01. Resumen</w:t>
        </w:r>
      </w:hyperlink>
    </w:p>
    <w:p>
      <w:pPr>
        <w:pStyle w:val="ListBullet"/>
      </w:pPr>
      <w:hyperlink w:anchor="sec_objetivo">
        <w:r>
          <w:rPr>
            <w:rFonts w:ascii="Sora" w:hAnsi="Sora"/>
            <w:color w:val="1155CC"/>
            <w:u w:val="single"/>
          </w:rPr>
          <w:t xml:space="preserve">02. Objetivo</w:t>
        </w:r>
      </w:hyperlink>
    </w:p>
    <w:p>
      <w:pPr>
        <w:pStyle w:val="ListBullet"/>
      </w:pPr>
      <w:hyperlink w:anchor="sec_plan">
        <w:r>
          <w:rPr>
            <w:rFonts w:ascii="Sora" w:hAnsi="Sora"/>
            <w:color w:val="1155CC"/>
            <w:u w:val="single"/>
          </w:rPr>
          <w:t xml:space="preserve">03. Plan de pruebas</w:t>
        </w:r>
      </w:hyperlink>
    </w:p>
    <w:p>
      <w:pPr>
        <w:pStyle w:val="ListBullet"/>
      </w:pPr>
      <w:hyperlink w:anchor="sec_resultados">
        <w:r>
          <w:rPr>
            <w:rFonts w:ascii="Sora" w:hAnsi="Sora"/>
            <w:color w:val="1155CC"/>
            <w:u w:val="single"/>
          </w:rPr>
          <w:t xml:space="preserve">04. Resultados</w:t>
        </w:r>
      </w:hyperlink>
    </w:p>
    <w:p>
      <w:pPr>
        <w:pStyle w:val="ListBullet"/>
      </w:pPr>
      <w:hyperlink w:anchor="sec_conclusiones">
        <w:r>
          <w:rPr>
            <w:rFonts w:ascii="Sora" w:hAnsi="Sora"/>
            <w:color w:val="1155CC"/>
            <w:u w:val="single"/>
          </w:rPr>
          <w:t xml:space="preserve">05. Conclusiones</w:t>
        </w:r>
      </w:hyperlink>
    </w:p>
    <w:p>
      <w:pPr>
        <w:pStyle w:val="ListBullet"/>
      </w:pPr>
      <w:hyperlink w:anchor="sec_observaciones">
        <w:r>
          <w:rPr>
            <w:rFonts w:ascii="Sora" w:hAnsi="Sora"/>
            <w:color w:val="1155CC"/>
            <w:u w:val="single"/>
          </w:rPr>
          <w:t xml:space="preserve">06. Observaciones</w:t>
        </w:r>
      </w:hyperlink>
    </w:p>
    <w:p>
      <w:pPr>
        <w:pStyle w:val="ListBullet"/>
      </w:pPr>
      <w:hyperlink w:anchor="sec_glosario">
        <w:r>
          <w:rPr>
            <w:rFonts w:ascii="Sora" w:hAnsi="Sora"/>
            <w:color w:val="1155CC"/>
            <w:u w:val="single"/>
          </w:rPr>
          <w:t xml:space="preserve">07. Glosario</w:t>
        </w:r>
      </w:hyperlink>
    </w:p>
    <w:p>
      <w:pPr>
        <w:pStyle w:val="Heading1"/>
        <w:pageBreakBefore/>
      </w:pPr>
      <w:bookmarkStart w:id="12943" w:name="sec_resumen"/>
      <w:r>
        <w:t>01. Resumen</w:t>
      </w:r>
      <w:bookmarkEnd w:id="12943"/>
    </w:p>
    <w:p>
      <w:r>
        <w:t>La presente campaña de pruebas de performance de tipo load testing se llevó a cabo para el cliente dummy sobre el entorno blazedemo, con el objetivo principal de validar la funcionalidad del job de Jenkins, incluyendo la generación de este informe final, sin depender de un ambiente real de Unitrade ni de credenciales productivas. Se evaluó el comportamiento de los servicios GET /, GET /login, GET /reserve.php y GET /vacation.html. Durante la campaña se analizaron tres versiones del producto. Los resultados generales indican que la versión más reciente, build-84, presentó una degradación significativa en comparación con las versiones anteriores, y el entorno de prueba solo pudo sostener el nivel de carga definido como 'Base (validacion minima)'.</w:t>
      </w:r>
    </w:p>
    <w:p>
      <w:pPr>
        <w:pStyle w:val="Heading1"/>
      </w:pPr>
      <w:bookmarkStart w:id="17222" w:name="sec_objetivo"/>
      <w:r>
        <w:t>02. Objetivo</w:t>
      </w:r>
      <w:bookmarkEnd w:id="17222"/>
    </w:p>
    <w:p>
      <w:r>
        <w:t>Este NO es un informe de negocio real. El cliente 'dummy' corre contra el sitio publico blazedemo.com para validar que el job de Jenkins -- incluido el checkbox 'Generar Informe Final' -- funciona de punta a punta, sin depender de un ambiente real de Unitrade ni de credenciales.</w:t>
      </w:r>
    </w:p>
    <w:p>
      <w:pPr>
        <w:pStyle w:val="Heading1"/>
      </w:pPr>
      <w:bookmarkStart w:id="68751" w:name="sec_plan"/>
      <w:r>
        <w:t>03. Plan de pruebas</w:t>
      </w:r>
      <w:bookmarkEnd w:id="68751"/>
    </w:p>
    <w:p>
      <w:pPr>
        <w:pStyle w:val="Heading2"/>
      </w:pPr>
      <w:r>
        <w:t>Scope</w:t>
      </w:r>
    </w:p>
    <w:p>
      <w:pPr>
        <w:pStyle w:val="ListBullet"/>
      </w:pPr>
      <w:r>
        <w:t>GET / — home de BlazeDemo</w:t>
      </w:r>
    </w:p>
    <w:p>
      <w:pPr>
        <w:pStyle w:val="ListBullet"/>
      </w:pPr>
      <w:r>
        <w:t>GET /login — pagina de login de BlazeDemo</w:t>
      </w:r>
    </w:p>
    <w:p>
      <w:pPr>
        <w:pStyle w:val="ListBullet"/>
      </w:pPr>
      <w:r>
        <w:t>GET /reserve.php — pagina de reserva de vuelos de BlazeDemo</w:t>
      </w:r>
    </w:p>
    <w:p>
      <w:pPr>
        <w:pStyle w:val="ListBullet"/>
      </w:pPr>
      <w:r>
        <w:t>GET /vacation.html — pagina de promociones de BlazeDemo</w:t>
      </w:r>
    </w:p>
    <w:p>
      <w:pPr>
        <w:pStyle w:val="Heading2"/>
      </w:pPr>
      <w:r>
        <w:t>Escenarios</w:t>
      </w:r>
    </w:p>
    <w:p>
      <w:r>
        <w:t>Estructura de cada escenario: Ramp-up: 15s, Sustain: load.duration.seconds (default 60s), Ramp-down: 15s.</w:t>
      </w:r>
    </w:p>
    <w:p>
      <w:r>
        <w:t>Pruebas de carga sistémica: Un unico CTG con las 4 paginas de BlazeDemo en paralelo, a TPS minimo (ver config/load-levels/dummy.json) para no generar carga real sobre un sitio publico de terceros.</w:t>
      </w:r>
    </w:p>
    <w:p>
      <w:r>
        <w:t>Duración de cada prueba: ~2 minutos por nivel (deliberadamente corto -- valida el pipeline, no busca un tope de capacidad).</w:t>
      </w:r>
    </w:p>
    <w:p>
      <w:pPr>
        <w:pStyle w:val="Heading1"/>
      </w:pPr>
      <w:bookmarkStart w:id="14914" w:name="sec_resultados"/>
      <w:r>
        <w:t>04. Resultados</w:t>
      </w:r>
      <w:bookmarkEnd w:id="14914"/>
    </w:p>
    <w:p>
      <w:r>
        <w:t>A continuación se presentan los resultados obtenidos por versión en la prueba de carga sistémica, seguidos de la comparativa entre versiones y la proyección de capacidad.</w:t>
      </w:r>
    </w:p>
    <w:p>
      <w:pPr>
        <w:pStyle w:val="ListBullet"/>
      </w:pPr>
      <w:r>
        <w:rPr>
          <w:b/>
        </w:rPr>
        <w:t xml:space="preserve">Versión build-80: </w:t>
      </w:r>
      <w:r>
        <w:t xml:space="preserve">error rate 0.0%, P95 promedio 402.6 ms, P99 361.4 ms, throughput 2.8 TPS (1 corrida(s)). </w:t>
      </w:r>
    </w:p>
    <w:p>
      <w:pPr>
        <w:pStyle w:val="ListBullet"/>
      </w:pPr>
      <w:r>
        <w:rPr>
          <w:b/>
        </w:rPr>
        <w:t xml:space="preserve">Versión build-83: </w:t>
      </w:r>
      <w:r>
        <w:t xml:space="preserve">error rate 0.39%, P95 promedio 408.4 ms, P99 394.5 ms, throughput 2.8 TPS (1 corrida(s)). </w:t>
      </w:r>
    </w:p>
    <w:p>
      <w:pPr>
        <w:pStyle w:val="ListBullet"/>
      </w:pPr>
      <w:r>
        <w:rPr>
          <w:b/>
        </w:rPr>
        <w:t xml:space="preserve">Versión build-84: </w:t>
      </w:r>
      <w:r>
        <w:t xml:space="preserve">error rate 0.45%, P95 promedio 600.2 ms, P99 512.0 ms, throughput 2.5 TPS (1 corrida(s)). </w:t>
      </w:r>
    </w:p>
    <w:p>
      <w:pPr>
        <w:pStyle w:val="Heading2"/>
        <w:keepNext/>
      </w:pPr>
      <w:r>
        <w:t>Comparativa de versiones</w:t>
      </w:r>
    </w:p>
    <w:tbl>
      <w:tblPr>
        <w:tblStyle w:val="LightGrid-Accent1"/>
        <w:tblW w:type="auto" w:w="0"/>
        <w:tblLook w:firstColumn="1" w:firstRow="1" w:lastColumn="0" w:lastRow="0" w:noHBand="0" w:noVBand="1" w:val="04A0"/>
      </w:tblPr>
      <w:tblGrid>
        <w:gridCol w:w="1728"/>
        <w:gridCol w:w="1728"/>
        <w:gridCol w:w="1728"/>
        <w:gridCol w:w="1728"/>
        <w:gridCol w:w="1728"/>
      </w:tblGrid>
      <w:tr>
        <w:trPr>
          <w:cantSplit/>
        </w:trPr>
        <w:tc>
          <w:tcPr>
            <w:tcW w:type="dxa" w:w="1728"/>
          </w:tcPr>
          <w:p>
            <w:pPr>
              <w:keepNext/>
            </w:pPr>
            <w:r>
              <w:rPr>
                <w:rFonts w:ascii="Sora" w:hAnsi="Sora"/>
                <w:b/>
                <w:sz w:val="22"/>
              </w:rPr>
              <w:t>Métrica</w:t>
            </w:r>
          </w:p>
        </w:tc>
        <w:tc>
          <w:tcPr>
            <w:tcW w:type="dxa" w:w="1728"/>
          </w:tcPr>
          <w:p>
            <w:pPr>
              <w:keepNext/>
            </w:pPr>
            <w:r>
              <w:rPr>
                <w:rFonts w:ascii="Sora" w:hAnsi="Sora"/>
                <w:b/>
                <w:sz w:val="22"/>
              </w:rPr>
              <w:t>vbuild-80</w:t>
            </w:r>
          </w:p>
        </w:tc>
        <w:tc>
          <w:tcPr>
            <w:tcW w:type="dxa" w:w="1728"/>
          </w:tcPr>
          <w:p>
            <w:pPr>
              <w:keepNext/>
            </w:pPr>
            <w:r>
              <w:rPr>
                <w:rFonts w:ascii="Sora" w:hAnsi="Sora"/>
                <w:b/>
                <w:sz w:val="22"/>
              </w:rPr>
              <w:t>vbuild-83</w:t>
            </w:r>
          </w:p>
        </w:tc>
        <w:tc>
          <w:tcPr>
            <w:tcW w:type="dxa" w:w="1728"/>
          </w:tcPr>
          <w:p>
            <w:pPr>
              <w:keepNext/>
            </w:pPr>
            <w:r>
              <w:rPr>
                <w:rFonts w:ascii="Sora" w:hAnsi="Sora"/>
                <w:b/>
                <w:sz w:val="22"/>
              </w:rPr>
              <w:t>vbuild-84</w:t>
            </w:r>
          </w:p>
        </w:tc>
        <w:tc>
          <w:tcPr>
            <w:tcW w:type="dxa" w:w="1728"/>
          </w:tcPr>
          <w:p>
            <w:pPr>
              <w:keepNext/>
            </w:pPr>
            <w:r>
              <w:rPr>
                <w:rFonts w:ascii="Sora" w:hAnsi="Sora"/>
                <w:b/>
                <w:sz w:val="22"/>
              </w:rPr>
              <w:t>Resultado vbuild-84</w:t>
            </w:r>
          </w:p>
        </w:tc>
      </w:tr>
      <w:tr>
        <w:trPr>
          <w:cantSplit/>
        </w:trPr>
        <w:tc>
          <w:tcPr>
            <w:tcW w:type="dxa" w:w="1728"/>
          </w:tcPr>
          <w:p>
            <w:pPr>
              <w:keepNext/>
            </w:pPr>
            <w:r>
              <w:rPr>
                <w:rFonts w:ascii="Sora" w:hAnsi="Sora"/>
                <w:sz w:val="22"/>
              </w:rPr>
              <w:t>Error rate</w:t>
            </w:r>
          </w:p>
        </w:tc>
        <w:tc>
          <w:tcPr>
            <w:tcW w:type="dxa" w:w="1728"/>
          </w:tcPr>
          <w:p>
            <w:pPr>
              <w:keepNext/>
            </w:pPr>
            <w:r>
              <w:rPr>
                <w:rFonts w:ascii="Sora" w:hAnsi="Sora"/>
                <w:sz w:val="22"/>
              </w:rPr>
              <w:t>0.0%</w:t>
            </w:r>
          </w:p>
        </w:tc>
        <w:tc>
          <w:tcPr>
            <w:tcW w:type="dxa" w:w="1728"/>
          </w:tcPr>
          <w:p>
            <w:pPr>
              <w:keepNext/>
            </w:pPr>
            <w:r>
              <w:rPr>
                <w:rFonts w:ascii="Sora" w:hAnsi="Sora"/>
                <w:sz w:val="22"/>
              </w:rPr>
              <w:t>0.39%</w:t>
            </w:r>
          </w:p>
        </w:tc>
        <w:tc>
          <w:tcPr>
            <w:tcW w:type="dxa" w:w="1728"/>
          </w:tcPr>
          <w:p>
            <w:pPr>
              <w:keepNext/>
            </w:pPr>
            <w:r>
              <w:rPr>
                <w:rFonts w:ascii="Sora" w:hAnsi="Sora"/>
                <w:sz w:val="22"/>
              </w:rPr>
              <w:t>0.45%</w:t>
            </w:r>
          </w:p>
        </w:tc>
        <w:tc>
          <w:tcPr>
            <w:tcW w:type="dxa" w:w="1728"/>
          </w:tcPr>
          <w:p>
            <w:pPr>
              <w:keepNext/>
            </w:pPr>
            <w:r>
              <w:rPr>
                <w:rFonts w:ascii="Sora" w:hAnsi="Sora"/>
                <w:sz w:val="22"/>
              </w:rPr>
              <w:t>Peor</w:t>
            </w:r>
          </w:p>
        </w:tc>
      </w:tr>
      <w:tr>
        <w:trPr>
          <w:cantSplit/>
        </w:trPr>
        <w:tc>
          <w:tcPr>
            <w:tcW w:type="dxa" w:w="1728"/>
          </w:tcPr>
          <w:p>
            <w:pPr>
              <w:keepNext/>
            </w:pPr>
            <w:r>
              <w:rPr>
                <w:rFonts w:ascii="Sora" w:hAnsi="Sora"/>
                <w:sz w:val="22"/>
              </w:rPr>
              <w:t>P95 promedio</w:t>
            </w:r>
          </w:p>
        </w:tc>
        <w:tc>
          <w:tcPr>
            <w:tcW w:type="dxa" w:w="1728"/>
          </w:tcPr>
          <w:p>
            <w:pPr>
              <w:keepNext/>
            </w:pPr>
            <w:r>
              <w:rPr>
                <w:rFonts w:ascii="Sora" w:hAnsi="Sora"/>
                <w:sz w:val="22"/>
              </w:rPr>
              <w:t>402.6 ms</w:t>
            </w:r>
          </w:p>
        </w:tc>
        <w:tc>
          <w:tcPr>
            <w:tcW w:type="dxa" w:w="1728"/>
          </w:tcPr>
          <w:p>
            <w:pPr>
              <w:keepNext/>
            </w:pPr>
            <w:r>
              <w:rPr>
                <w:rFonts w:ascii="Sora" w:hAnsi="Sora"/>
                <w:sz w:val="22"/>
              </w:rPr>
              <w:t>408.4 ms</w:t>
            </w:r>
          </w:p>
        </w:tc>
        <w:tc>
          <w:tcPr>
            <w:tcW w:type="dxa" w:w="1728"/>
          </w:tcPr>
          <w:p>
            <w:pPr>
              <w:keepNext/>
            </w:pPr>
            <w:r>
              <w:rPr>
                <w:rFonts w:ascii="Sora" w:hAnsi="Sora"/>
                <w:sz w:val="22"/>
              </w:rPr>
              <w:t>600.2 ms</w:t>
            </w:r>
          </w:p>
        </w:tc>
        <w:tc>
          <w:tcPr>
            <w:tcW w:type="dxa" w:w="1728"/>
          </w:tcPr>
          <w:p>
            <w:pPr>
              <w:keepNext/>
            </w:pPr>
            <w:r>
              <w:rPr>
                <w:rFonts w:ascii="Sora" w:hAnsi="Sora"/>
                <w:sz w:val="22"/>
              </w:rPr>
              <w:t>Peor</w:t>
            </w:r>
          </w:p>
        </w:tc>
      </w:tr>
      <w:tr>
        <w:trPr>
          <w:cantSplit/>
        </w:trPr>
        <w:tc>
          <w:tcPr>
            <w:tcW w:type="dxa" w:w="1728"/>
          </w:tcPr>
          <w:p>
            <w:pPr>
              <w:keepNext/>
            </w:pPr>
            <w:r>
              <w:rPr>
                <w:rFonts w:ascii="Sora" w:hAnsi="Sora"/>
                <w:sz w:val="22"/>
              </w:rPr>
              <w:t>P99</w:t>
            </w:r>
          </w:p>
        </w:tc>
        <w:tc>
          <w:tcPr>
            <w:tcW w:type="dxa" w:w="1728"/>
          </w:tcPr>
          <w:p>
            <w:pPr>
              <w:keepNext/>
            </w:pPr>
            <w:r>
              <w:rPr>
                <w:rFonts w:ascii="Sora" w:hAnsi="Sora"/>
                <w:sz w:val="22"/>
              </w:rPr>
              <w:t>361.4 ms</w:t>
            </w:r>
          </w:p>
        </w:tc>
        <w:tc>
          <w:tcPr>
            <w:tcW w:type="dxa" w:w="1728"/>
          </w:tcPr>
          <w:p>
            <w:pPr>
              <w:keepNext/>
            </w:pPr>
            <w:r>
              <w:rPr>
                <w:rFonts w:ascii="Sora" w:hAnsi="Sora"/>
                <w:sz w:val="22"/>
              </w:rPr>
              <w:t>394.5 ms</w:t>
            </w:r>
          </w:p>
        </w:tc>
        <w:tc>
          <w:tcPr>
            <w:tcW w:type="dxa" w:w="1728"/>
          </w:tcPr>
          <w:p>
            <w:pPr>
              <w:keepNext/>
            </w:pPr>
            <w:r>
              <w:rPr>
                <w:rFonts w:ascii="Sora" w:hAnsi="Sora"/>
                <w:sz w:val="22"/>
              </w:rPr>
              <w:t>512.0 ms</w:t>
            </w:r>
          </w:p>
        </w:tc>
        <w:tc>
          <w:tcPr>
            <w:tcW w:type="dxa" w:w="1728"/>
          </w:tcPr>
          <w:p>
            <w:pPr>
              <w:keepNext/>
            </w:pPr>
            <w:r>
              <w:rPr>
                <w:rFonts w:ascii="Sora" w:hAnsi="Sora"/>
                <w:sz w:val="22"/>
              </w:rPr>
              <w:t>Peor</w:t>
            </w:r>
          </w:p>
        </w:tc>
      </w:tr>
      <w:tr>
        <w:trPr>
          <w:cantSplit/>
        </w:trPr>
        <w:tc>
          <w:tcPr>
            <w:tcW w:type="dxa" w:w="1728"/>
          </w:tcPr>
          <w:p>
            <w:r>
              <w:rPr>
                <w:rFonts w:ascii="Sora" w:hAnsi="Sora"/>
                <w:sz w:val="22"/>
              </w:rPr>
              <w:t>Throughput</w:t>
            </w:r>
          </w:p>
        </w:tc>
        <w:tc>
          <w:tcPr>
            <w:tcW w:type="dxa" w:w="1728"/>
          </w:tcPr>
          <w:p>
            <w:r>
              <w:rPr>
                <w:rFonts w:ascii="Sora" w:hAnsi="Sora"/>
                <w:sz w:val="22"/>
              </w:rPr>
              <w:t>2.8 TPS</w:t>
            </w:r>
          </w:p>
        </w:tc>
        <w:tc>
          <w:tcPr>
            <w:tcW w:type="dxa" w:w="1728"/>
          </w:tcPr>
          <w:p>
            <w:r>
              <w:rPr>
                <w:rFonts w:ascii="Sora" w:hAnsi="Sora"/>
                <w:sz w:val="22"/>
              </w:rPr>
              <w:t>2.8 TPS</w:t>
            </w:r>
          </w:p>
        </w:tc>
        <w:tc>
          <w:tcPr>
            <w:tcW w:type="dxa" w:w="1728"/>
          </w:tcPr>
          <w:p>
            <w:r>
              <w:rPr>
                <w:rFonts w:ascii="Sora" w:hAnsi="Sora"/>
                <w:sz w:val="22"/>
              </w:rPr>
              <w:t>2.5 TPS</w:t>
            </w:r>
          </w:p>
        </w:tc>
        <w:tc>
          <w:tcPr>
            <w:tcW w:type="dxa" w:w="1728"/>
          </w:tcPr>
          <w:p>
            <w:r>
              <w:rPr>
                <w:rFonts w:ascii="Sora" w:hAnsi="Sora"/>
                <w:sz w:val="22"/>
              </w:rPr>
              <w:t>Peor</w:t>
            </w:r>
          </w:p>
        </w:tc>
      </w:tr>
    </w:tbl>
    <w:p>
      <w:r>
        <w:t>Al comparar las versiones probadas, se observa que la versión build-84 exhibió un comportamiento problemático en relación con la versión build-83. El P95 promedio de la versión build-84 se incrementó a 600.2 ms desde los 408.4 ms de la build-83, lo que representa una degradación promedio del 42.6%. Asimismo, el throughput disminuyó de 2.8 TPS a 2.5 TPS, y el error_rate_pct se elevó ligeramente de 0.39% a 0.45%. Se identificaron degradaciones significativas en el P95 de servicios clave como GET / (+66.7%), GET /login (+41.4%), GET /reserve.php (+35.9%) y GET /vacation.html (+26.3%). No se registraron mejoras confirmadas entre las versiones.</w:t>
      </w:r>
    </w:p>
    <w:p>
      <w:r>
        <w:rPr>
          <w:b/>
        </w:rPr>
        <w:t xml:space="preserve">Veredicto de la versión build-84: </w:t>
      </w:r>
      <w:r>
        <w:t>PROBLEMATICA. 3 endpoint(s) con degradación significativa. Delta promedio: 42.6%.</w:t>
      </w:r>
    </w:p>
    <w:p>
      <w:pPr>
        <w:pStyle w:val="Heading2"/>
      </w:pPr>
      <w:r>
        <w:t>Alertas y hallazgos</w:t>
      </w:r>
    </w:p>
    <w:p>
      <w:pPr>
        <w:pStyle w:val="ListBullet"/>
      </w:pPr>
      <w:r>
        <w:t>Cumplimiento de SLA: todos los servicios evaluados dentro del umbral.</w:t>
      </w:r>
    </w:p>
    <w:p>
      <w:pPr>
        <w:pStyle w:val="ListBullet"/>
      </w:pPr>
      <w:r>
        <w:t>Degradación: GET /reserve.php +36% de P95 en build-84 vs build-83 (328.9 ms → 447.0 ms).</w:t>
      </w:r>
    </w:p>
    <w:p>
      <w:pPr>
        <w:pStyle w:val="ListBullet"/>
      </w:pPr>
      <w:r>
        <w:t>Degradación: GET /vacation.html +26% de P95 en build-84 vs build-83 (326.6 ms → 412.5 ms).</w:t>
      </w:r>
    </w:p>
    <w:p>
      <w:pPr>
        <w:pStyle w:val="ListBullet"/>
      </w:pPr>
      <w:r>
        <w:t>A vigilar: GET / — Advertencia: +66% vs baseline global; Regresión de versión: +67% vs build-83.</w:t>
      </w:r>
    </w:p>
    <w:p>
      <w:pPr>
        <w:pStyle w:val="ListBullet"/>
      </w:pPr>
      <w:r>
        <w:t>A vigilar: GET /login — Regresión de versión: +41% vs build-83; +41% sostenido vs arranque de versión (2+ corridas), por debajo del umbral de advertencia.</w:t>
      </w:r>
    </w:p>
    <w:p>
      <w:pPr>
        <w:pStyle w:val="Heading1"/>
      </w:pPr>
      <w:bookmarkStart w:id="9454" w:name="sec_conclusiones"/>
      <w:r>
        <w:t>05. Conclusiones</w:t>
      </w:r>
      <w:bookmarkEnd w:id="9454"/>
    </w:p>
    <w:p>
      <w:pPr>
        <w:pStyle w:val="ListBullet"/>
      </w:pPr>
      <w:r>
        <w:t>El entorno de prueba utilizado no replica un ambiente productivo de Unitrade, siendo su propósito la validación del proceso de Jenkins, lo cual limita la extrapolación directa de los resultados a escenarios de producción.</w:t>
      </w:r>
    </w:p>
    <w:p>
      <w:pPr>
        <w:pStyle w:val="ListBullet"/>
      </w:pPr>
      <w:r>
        <w:t>La versión build-84 presenta una degradación generalizada en los tiempos de respuesta P95 en comparación con la versión build-83, con un incremento promedio del 42.6% en los servicios evaluados.</w:t>
      </w:r>
    </w:p>
    <w:p>
      <w:pPr>
        <w:pStyle w:val="ListBullet"/>
      </w:pPr>
      <w:r>
        <w:t>Se identificaron regresiones significativas en el P95 de los servicios GET / (+66.7%), GET /login (+41.4%), GET /reserve.php (+35.9%) y GET /vacation.html (+26.3%) en la versión build-84 respecto a la build-83.</w:t>
      </w:r>
    </w:p>
    <w:p>
      <w:pPr>
        <w:pStyle w:val="ListBullet"/>
      </w:pPr>
      <w:r>
        <w:t>Los servicios GET / y GET /login han sido marcados en la watchlist debido a su regresión de versión y comportamiento sostenido por encima del baseline.</w:t>
      </w:r>
    </w:p>
    <w:p>
      <w:pPr>
        <w:pStyle w:val="ListBullet"/>
      </w:pPr>
      <w:r>
        <w:t>El nivel de carga máximo sostenido en esta campaña fue el de 'Base (validacion minima)', lo que sugiere que la capacidad actual del entorno o de la aplicación bajo prueba es limitada.</w:t>
      </w:r>
    </w:p>
    <w:p>
      <w:r>
        <w:rPr>
          <w:b/>
        </w:rPr>
        <w:t xml:space="preserve">Veredicto general: </w:t>
      </w:r>
      <w:r>
        <w:t>Considerando las degradaciones observadas en los tiempos de respuesta y el throughput, la versión build-84 se clasifica como problemática y no se recomienda para un despliegue sin una revisión y optimización exhaustiva de los servicios afectados.</w:t>
      </w:r>
    </w:p>
    <w:p>
      <w:pPr>
        <w:pStyle w:val="Heading1"/>
      </w:pPr>
      <w:bookmarkStart w:id="44745" w:name="sec_observaciones"/>
      <w:r>
        <w:t>06. Observaciones</w:t>
      </w:r>
      <w:bookmarkEnd w:id="44745"/>
    </w:p>
    <w:p>
      <w:pPr>
        <w:pStyle w:val="ListBullet"/>
      </w:pPr>
      <w:r>
        <w:t>Este informe es un artefacto de validacion del pipeline de CI/CD, no un entregable de negocio -- no usar como referencia de SLA real ni compartir con un cliente.</w:t>
      </w:r>
    </w:p>
    <w:p>
      <w:pPr>
        <w:pStyle w:val="ListBullet"/>
      </w:pPr>
      <w:r>
        <w:t>El servicio GET / mostró el P95 más elevado en la versión build-84, alcanzando los 1044.75 ms, lo que lo posiciona como el de peor comportamiento en términos de latencia.</w:t>
      </w:r>
    </w:p>
    <w:p>
      <w:pPr>
        <w:pStyle w:val="ListBullet"/>
      </w:pPr>
      <w:r>
        <w:t>El servicio GET /vacation.html presentó el error_rate_pct más alto entre los servicios evaluados en la versión build-84, con un 1.79%, aunque el error_rate general de la versión se mantuvo bajo.</w:t>
      </w:r>
    </w:p>
    <w:p>
      <w:pPr>
        <w:pStyle w:val="Heading1"/>
        <w:pageBreakBefore/>
      </w:pPr>
      <w:bookmarkStart w:id="54322" w:name="sec_glosario"/>
      <w:r>
        <w:t>07. Glosario</w:t>
      </w:r>
      <w:bookmarkEnd w:id="54322"/>
    </w:p>
    <w:p>
      <w:pPr>
        <w:pStyle w:val="ListBullet"/>
      </w:pPr>
      <w:r>
        <w:rPr>
          <w:b/>
        </w:rPr>
        <w:t xml:space="preserve">Sustain: </w:t>
      </w:r>
      <w:r>
        <w:t>Tiempo de duración de la carga de forma sostenida.</w:t>
      </w:r>
    </w:p>
    <w:p>
      <w:pPr>
        <w:pStyle w:val="ListBullet"/>
      </w:pPr>
      <w:r>
        <w:rPr>
          <w:b/>
        </w:rPr>
        <w:t xml:space="preserve">Ramp-up: </w:t>
      </w:r>
      <w:r>
        <w:t>Tiempo de subida hacia la carga objetivo.</w:t>
      </w:r>
    </w:p>
    <w:p>
      <w:pPr>
        <w:pStyle w:val="ListBullet"/>
      </w:pPr>
      <w:r>
        <w:rPr>
          <w:b/>
        </w:rPr>
        <w:t xml:space="preserve">Ramp-down: </w:t>
      </w:r>
      <w:r>
        <w:t>Tiempo de bajada de la carga sostenida hasta cero.</w:t>
      </w:r>
    </w:p>
    <w:p>
      <w:pPr>
        <w:pStyle w:val="ListBullet"/>
      </w:pPr>
      <w:r>
        <w:rPr>
          <w:b/>
        </w:rPr>
        <w:t xml:space="preserve">TPS (transacciones por segundo): </w:t>
      </w:r>
      <w:r>
        <w:t>Índice de performance que relaciona la cantidad de transacciones realizadas en 1 segundo (throughput). Es un indicador clave en las pruebas de performance.</w:t>
      </w:r>
    </w:p>
    <w:p>
      <w:pPr>
        <w:pStyle w:val="ListBullet"/>
      </w:pPr>
      <w:r>
        <w:rPr>
          <w:b/>
        </w:rPr>
        <w:t xml:space="preserve">Percentil 95 (P95): </w:t>
      </w:r>
      <w:r>
        <w:t>Valor bajo el cual se encuentran el 95% de las muestras: el 95% de los tiempos medidos fueron iguales o menores a ese valor. Representa cómo experimentan la mayoría de los usuarios la aplicación, sin dejarse llevar por valores atípicos como el promedio.</w:t>
      </w:r>
    </w:p>
    <w:p>
      <w:pPr>
        <w:pStyle w:val="ListBullet"/>
      </w:pPr>
      <w:r>
        <w:rPr>
          <w:b/>
        </w:rPr>
        <w:t xml:space="preserve">Prueba de carga sistémica: </w:t>
      </w:r>
      <w:r>
        <w:t>Prueba donde se simula tráfico concurrente sobre todos los servicios del sistema en conjunto, para evaluar su comportamiento global bajo carga.</w:t>
      </w:r>
    </w:p>
    <w:p>
      <w:pPr>
        <w:pStyle w:val="ListBullet"/>
      </w:pPr>
      <w:r>
        <w:rPr>
          <w:b/>
        </w:rPr>
        <w:t xml:space="preserve">CTG (Concurrency Thread Group): </w:t>
      </w:r>
      <w:r>
        <w:t>Componente de JMeter que controla la cantidad de usuarios concurrentes activos en cada momento de la prueba.</w:t>
      </w:r>
    </w:p>
    <w:p>
      <w:pPr>
        <w:pStyle w:val="ListBullet"/>
      </w:pPr>
      <w:r>
        <w:rPr>
          <w:b/>
        </w:rPr>
        <w:t xml:space="preserve">TST (Throughput Shaping Timer): </w:t>
      </w:r>
      <w:r>
        <w:t>Temporizador que regula la cantidad de solicitudes por segundo (throughput/TPS) enviadas al sistema, para simular patrones de carga específicos.</w:t>
      </w:r>
    </w:p>
    <w:sectPr w:rsidR="00FC693F" w:rsidRPr="0006063C" w:rsidSect="00034616">
      <w:footerReference w:type="first" r:id="rId10"/>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Sora" w:hAnsi="Sora"/>
        <w:b/>
        <w:color w:val="1155CC"/>
        <w:sz w:val="28"/>
      </w:rPr>
      <w:t>Julio 2026</w:t>
      <w:br/>
    </w:r>
    <w:r>
      <w:rPr>
        <w:rFonts w:ascii="Sora" w:hAnsi="Sora"/>
        <w:sz w:val="24"/>
      </w:rPr>
      <w:t>Equipo de Performance - Mercap</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ora" w:hAnsi="Sora" w:cs="Sor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ora" w:hAnsi="Sora" w:cs="Sora"/>
      <w:b/>
      <w:bCs/>
      <w:color w:val="1155CC"/>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ora" w:hAnsi="Sora" w:cs="Sora"/>
      <w:b/>
      <w:bCs/>
      <w:color w:val="1155CC"/>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Sora" w:hAnsi="Sora" w:cs="Sora"/>
    </w:rPr>
  </w:style>
  <w:style w:type="paragraph" w:styleId="ListBullet2">
    <w:name w:val="List Bullet 2"/>
    <w:basedOn w:val="Normal"/>
    <w:uiPriority w:val="99"/>
    <w:unhideWhenUsed/>
    <w:rsid w:val="00326F90"/>
    <w:pPr>
      <w:numPr>
        <w:numId w:val="2"/>
      </w:numPr>
      <w:contextualSpacing/>
    </w:pPr>
    <w:rPr>
      <w:rFonts w:ascii="Sora" w:hAnsi="Sora" w:cs="Sora"/>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