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TRADEMONITOR</w:t>
      </w:r>
    </w:p>
    <w:p>
      <w:pPr>
        <w:jc w:val="center"/>
      </w:pPr>
      <w:r>
        <w:rPr>
          <w:b/>
          <w:sz w:val="40"/>
        </w:rPr>
        <w:t>TM0 Architecture Thesis</w:t>
      </w:r>
    </w:p>
    <w:p>
      <w:pPr>
        <w:jc w:val="center"/>
      </w:pPr>
      <w:r>
        <w:rPr>
          <w:i/>
          <w:sz w:val="28"/>
        </w:rPr>
        <w:t>Reference Baseline through TM0.12</w:t>
      </w:r>
    </w:p>
    <w:p/>
    <w:p>
      <w:pPr>
        <w:jc w:val="center"/>
      </w:pPr>
      <w:r>
        <w:rPr>
          <w:i/>
          <w:sz w:val="24"/>
        </w:rPr>
        <w:t>A coordinated set of loosely coupled expert domains, governed by Risk Management and broker truth, synchronized by a small Core Manager, with execution isolated in Module M and ambiguity optionally delegated to an independent Agents service.</w:t>
      </w:r>
    </w:p>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D9EAF7"/>
            <w:vAlign w:val="center"/>
            <w:tcMar>
              <w:top w:w="80" w:type="dxa"/>
              <w:start w:w="100" w:type="dxa"/>
              <w:bottom w:w="80" w:type="dxa"/>
              <w:end w:w="100" w:type="dxa"/>
            </w:tcMar>
          </w:tcPr>
          <w:p>
            <w:r>
              <w:rPr>
                <w:b/>
              </w:rPr>
              <w:t>Item</w:t>
            </w:r>
          </w:p>
        </w:tc>
        <w:tc>
          <w:tcPr>
            <w:tcW w:type="dxa" w:w="8208"/>
            <w:shd w:fill="D9EAF7"/>
            <w:vAlign w:val="center"/>
            <w:tcMar>
              <w:top w:w="80" w:type="dxa"/>
              <w:start w:w="100" w:type="dxa"/>
              <w:bottom w:w="80" w:type="dxa"/>
              <w:end w:w="100" w:type="dxa"/>
            </w:tcMar>
          </w:tcPr>
          <w:p>
            <w:r>
              <w:rPr>
                <w:b/>
              </w:rPr>
              <w:t>Baseline</w:t>
            </w:r>
          </w:p>
        </w:tc>
      </w:tr>
      <w:tr>
        <w:trPr>
          <w:cantSplit/>
        </w:trPr>
        <w:tc>
          <w:tcPr>
            <w:tcW w:type="dxa" w:w="2304"/>
            <w:vAlign w:val="top"/>
            <w:tcMar>
              <w:top w:w="80" w:type="dxa"/>
              <w:start w:w="100" w:type="dxa"/>
              <w:bottom w:w="80" w:type="dxa"/>
              <w:end w:w="100" w:type="dxa"/>
            </w:tcMar>
          </w:tcPr>
          <w:p>
            <w:r>
              <w:t>Purpose</w:t>
            </w:r>
          </w:p>
        </w:tc>
        <w:tc>
          <w:tcPr>
            <w:tcW w:type="dxa" w:w="8208"/>
            <w:vAlign w:val="top"/>
            <w:tcMar>
              <w:top w:w="80" w:type="dxa"/>
              <w:start w:w="100" w:type="dxa"/>
              <w:bottom w:w="80" w:type="dxa"/>
              <w:end w:w="100" w:type="dxa"/>
            </w:tcMar>
          </w:tcPr>
          <w:p>
            <w:r>
              <w:t>Canonical architectural reference for design, implementation, review and future change control.</w:t>
            </w:r>
          </w:p>
        </w:tc>
      </w:tr>
      <w:tr>
        <w:trPr>
          <w:cantSplit/>
        </w:trPr>
        <w:tc>
          <w:tcPr>
            <w:tcW w:type="dxa" w:w="2304"/>
            <w:vAlign w:val="top"/>
            <w:tcMar>
              <w:top w:w="80" w:type="dxa"/>
              <w:start w:w="100" w:type="dxa"/>
              <w:bottom w:w="80" w:type="dxa"/>
              <w:end w:w="100" w:type="dxa"/>
            </w:tcMar>
          </w:tcPr>
          <w:p>
            <w:r>
              <w:t>Scope</w:t>
            </w:r>
          </w:p>
        </w:tc>
        <w:tc>
          <w:tcPr>
            <w:tcW w:type="dxa" w:w="8208"/>
            <w:vAlign w:val="top"/>
            <w:tcMar>
              <w:top w:w="80" w:type="dxa"/>
              <w:start w:w="100" w:type="dxa"/>
              <w:bottom w:w="80" w:type="dxa"/>
              <w:end w:w="100" w:type="dxa"/>
            </w:tcMar>
          </w:tcPr>
          <w:p>
            <w:r>
              <w:t>TradeMonitor conceptual architecture through TM0.12.</w:t>
            </w:r>
          </w:p>
        </w:tc>
      </w:tr>
      <w:tr>
        <w:trPr>
          <w:cantSplit/>
        </w:trPr>
        <w:tc>
          <w:tcPr>
            <w:tcW w:type="dxa" w:w="2304"/>
            <w:vAlign w:val="top"/>
            <w:tcMar>
              <w:top w:w="80" w:type="dxa"/>
              <w:start w:w="100" w:type="dxa"/>
              <w:bottom w:w="80" w:type="dxa"/>
              <w:end w:w="100" w:type="dxa"/>
            </w:tcMar>
          </w:tcPr>
          <w:p>
            <w:r>
              <w:t>Status</w:t>
            </w:r>
          </w:p>
        </w:tc>
        <w:tc>
          <w:tcPr>
            <w:tcW w:type="dxa" w:w="8208"/>
            <w:vAlign w:val="top"/>
            <w:tcMar>
              <w:top w:w="80" w:type="dxa"/>
              <w:start w:w="100" w:type="dxa"/>
              <w:bottom w:w="80" w:type="dxa"/>
              <w:end w:w="100" w:type="dxa"/>
            </w:tcMar>
          </w:tcPr>
          <w:p>
            <w:r>
              <w:t>Architecture baseline ready for formalization; selected control-state details deliberately remain evolvable.</w:t>
            </w:r>
          </w:p>
        </w:tc>
      </w:tr>
      <w:tr>
        <w:trPr>
          <w:cantSplit/>
        </w:trPr>
        <w:tc>
          <w:tcPr>
            <w:tcW w:type="dxa" w:w="2304"/>
            <w:vAlign w:val="top"/>
            <w:tcMar>
              <w:top w:w="80" w:type="dxa"/>
              <w:start w:w="100" w:type="dxa"/>
              <w:bottom w:w="80" w:type="dxa"/>
              <w:end w:w="100" w:type="dxa"/>
            </w:tcMar>
          </w:tcPr>
          <w:p>
            <w:r>
              <w:t>Primary market scope</w:t>
            </w:r>
          </w:p>
        </w:tc>
        <w:tc>
          <w:tcPr>
            <w:tcW w:type="dxa" w:w="8208"/>
            <w:vAlign w:val="top"/>
            <w:tcMar>
              <w:top w:w="80" w:type="dxa"/>
              <w:start w:w="100" w:type="dxa"/>
              <w:bottom w:w="80" w:type="dxa"/>
              <w:end w:w="100" w:type="dxa"/>
            </w:tcMar>
          </w:tcPr>
          <w:p>
            <w:r>
              <w:t>Indian Equity/Index F&amp;O initially; CASH may be added later; commodity support is a future possibility; crypto is out of scope.</w:t>
            </w:r>
          </w:p>
        </w:tc>
      </w:tr>
      <w:tr>
        <w:trPr>
          <w:cantSplit/>
        </w:trPr>
        <w:tc>
          <w:tcPr>
            <w:tcW w:type="dxa" w:w="2304"/>
            <w:vAlign w:val="top"/>
            <w:tcMar>
              <w:top w:w="80" w:type="dxa"/>
              <w:start w:w="100" w:type="dxa"/>
              <w:bottom w:w="80" w:type="dxa"/>
              <w:end w:w="100" w:type="dxa"/>
            </w:tcMar>
          </w:tcPr>
          <w:p>
            <w:r>
              <w:t>Reference date</w:t>
            </w:r>
          </w:p>
        </w:tc>
        <w:tc>
          <w:tcPr>
            <w:tcW w:type="dxa" w:w="8208"/>
            <w:vAlign w:val="top"/>
            <w:tcMar>
              <w:top w:w="80" w:type="dxa"/>
              <w:start w:w="100" w:type="dxa"/>
              <w:bottom w:w="80" w:type="dxa"/>
              <w:end w:w="100" w:type="dxa"/>
            </w:tcMar>
          </w:tcPr>
          <w:p>
            <w:r>
              <w:t>03-Sep-2026</w:t>
            </w:r>
          </w:p>
        </w:tc>
      </w:tr>
    </w:tbl>
    <w:p/>
    <w:p>
      <w:pPr>
        <w:pStyle w:val="Heading2"/>
      </w:pPr>
      <w:r>
        <w:t>How to use this thesis</w:t>
      </w:r>
    </w:p>
    <w:p>
      <w:r>
        <w:t>This document is intended to be the shared reference point for TradeMonitor. New requirements, implementation choices and future modules should be checked against it. A later change may intentionally supersede a baseline decision, but it should do so explicitly rather than by accidental architectural drift.</w:t>
      </w:r>
    </w:p>
    <w:p>
      <w:r>
        <w:br w:type="page"/>
      </w:r>
    </w:p>
    <w:p>
      <w:pPr>
        <w:pStyle w:val="Heading1"/>
      </w:pPr>
      <w:r>
        <w:t>1. Executive Thesis</w:t>
      </w:r>
    </w:p>
    <w:p>
      <w:r>
        <w:t>TradeMonitor (TM) is not merely a scanner-to-broker bridge. It is a stateful operational trading system whose job is to receive trading opportunities and instructions from multiple sources, maintain coherent market/broker/trade/risk contexts, decide when a trade is actionable, deploy authorized executions safely, manage live positions, and exit or adapt them according to deterministic policy, user authority and bounded external intelligence.</w:t>
      </w:r>
    </w:p>
    <w:p>
      <w:r>
        <w:t>The architecture deliberately avoids a monolithic “master trading algorithm.” Instead, TM is organized as a small coordinating Core Manager plus expert domain owners. Each domain is responsible for its own decisions, failures and recovery. The broker is factual truth for orders, fills and positions. Risk Management is the highest runtime operational authority. The User has the highest normal discretionary authority below Risk Management. Agents are a separate low-authority advisory service used for independent validation or high-ambiguity analysis. Module M is intentionally narrow: it deploys already-authorized execution requests to the broker and reports broker results.</w:t>
      </w:r>
    </w:p>
    <w:p>
      <w:r>
        <w:t>The design objective is simultaneously ambitious and conservative: sophisticated enough to represent real trading operations, but simple enough that ownership, authority, state and failure behavior remain explainable. The system should be loosely coupled, responsible, extensible and safe under partial failure.</w:t>
      </w:r>
    </w:p>
    <w:p>
      <w:pPr>
        <w:pStyle w:val="Heading1"/>
      </w:pPr>
      <w:r>
        <w:t>2. Architectural Values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center"/>
            <w:tcMar>
              <w:top w:w="80" w:type="dxa"/>
              <w:start w:w="100" w:type="dxa"/>
              <w:bottom w:w="80" w:type="dxa"/>
              <w:end w:w="100" w:type="dxa"/>
            </w:tcMar>
          </w:tcPr>
          <w:p>
            <w:r>
              <w:rPr>
                <w:b/>
              </w:rPr>
              <w:t>Value</w:t>
            </w:r>
          </w:p>
        </w:tc>
        <w:tc>
          <w:tcPr>
            <w:tcW w:type="dxa" w:w="4997"/>
            <w:shd w:fill="D9EAF7"/>
            <w:vAlign w:val="center"/>
            <w:tcMar>
              <w:top w:w="80" w:type="dxa"/>
              <w:start w:w="100" w:type="dxa"/>
              <w:bottom w:w="80" w:type="dxa"/>
              <w:end w:w="100" w:type="dxa"/>
            </w:tcMar>
          </w:tcPr>
          <w:p>
            <w:r>
              <w:rPr>
                <w:b/>
              </w:rPr>
              <w:t>Meaning in TradeMonitor</w:t>
            </w:r>
          </w:p>
        </w:tc>
      </w:tr>
      <w:tr>
        <w:trPr>
          <w:cantSplit/>
        </w:trPr>
        <w:tc>
          <w:tcPr>
            <w:tcW w:type="dxa" w:w="4997"/>
            <w:vAlign w:val="top"/>
            <w:tcMar>
              <w:top w:w="80" w:type="dxa"/>
              <w:start w:w="100" w:type="dxa"/>
              <w:bottom w:w="80" w:type="dxa"/>
              <w:end w:w="100" w:type="dxa"/>
            </w:tcMar>
          </w:tcPr>
          <w:p>
            <w:r>
              <w:t>Simple</w:t>
            </w:r>
          </w:p>
        </w:tc>
        <w:tc>
          <w:tcPr>
            <w:tcW w:type="dxa" w:w="4997"/>
            <w:vAlign w:val="top"/>
            <w:tcMar>
              <w:top w:w="80" w:type="dxa"/>
              <w:start w:w="100" w:type="dxa"/>
              <w:bottom w:w="80" w:type="dxa"/>
              <w:end w:w="100" w:type="dxa"/>
            </w:tcMar>
          </w:tcPr>
          <w:p>
            <w:r>
              <w:t>Prefer few clear concepts over overlapping abstractions. Complexity belongs inside the responsible domain, not in cross-system coupling.</w:t>
            </w:r>
          </w:p>
        </w:tc>
      </w:tr>
      <w:tr>
        <w:trPr>
          <w:cantSplit/>
        </w:trPr>
        <w:tc>
          <w:tcPr>
            <w:tcW w:type="dxa" w:w="4997"/>
            <w:vAlign w:val="top"/>
            <w:tcMar>
              <w:top w:w="80" w:type="dxa"/>
              <w:start w:w="100" w:type="dxa"/>
              <w:bottom w:w="80" w:type="dxa"/>
              <w:end w:w="100" w:type="dxa"/>
            </w:tcMar>
          </w:tcPr>
          <w:p>
            <w:r>
              <w:t>Loosely coupled</w:t>
            </w:r>
          </w:p>
        </w:tc>
        <w:tc>
          <w:tcPr>
            <w:tcW w:type="dxa" w:w="4997"/>
            <w:vAlign w:val="top"/>
            <w:tcMar>
              <w:top w:w="80" w:type="dxa"/>
              <w:start w:w="100" w:type="dxa"/>
              <w:bottom w:w="80" w:type="dxa"/>
              <w:end w:w="100" w:type="dxa"/>
            </w:tcMar>
          </w:tcPr>
          <w:p>
            <w:r>
              <w:t>Domains communicate through explicit interfaces/events; external services remain replaceable.</w:t>
            </w:r>
          </w:p>
        </w:tc>
      </w:tr>
      <w:tr>
        <w:trPr>
          <w:cantSplit/>
        </w:trPr>
        <w:tc>
          <w:tcPr>
            <w:tcW w:type="dxa" w:w="4997"/>
            <w:vAlign w:val="top"/>
            <w:tcMar>
              <w:top w:w="80" w:type="dxa"/>
              <w:start w:w="100" w:type="dxa"/>
              <w:bottom w:w="80" w:type="dxa"/>
              <w:end w:w="100" w:type="dxa"/>
            </w:tcMar>
          </w:tcPr>
          <w:p>
            <w:r>
              <w:t>Responsible</w:t>
            </w:r>
          </w:p>
        </w:tc>
        <w:tc>
          <w:tcPr>
            <w:tcW w:type="dxa" w:w="4997"/>
            <w:vAlign w:val="top"/>
            <w:tcMar>
              <w:top w:w="80" w:type="dxa"/>
              <w:start w:w="100" w:type="dxa"/>
              <w:bottom w:w="80" w:type="dxa"/>
              <w:end w:w="100" w:type="dxa"/>
            </w:tcMar>
          </w:tcPr>
          <w:p>
            <w:r>
              <w:t>Every domain owns its decisions, failures, recovery and escalation.</w:t>
            </w:r>
          </w:p>
        </w:tc>
      </w:tr>
      <w:tr>
        <w:trPr>
          <w:cantSplit/>
        </w:trPr>
        <w:tc>
          <w:tcPr>
            <w:tcW w:type="dxa" w:w="4997"/>
            <w:vAlign w:val="top"/>
            <w:tcMar>
              <w:top w:w="80" w:type="dxa"/>
              <w:start w:w="100" w:type="dxa"/>
              <w:bottom w:w="80" w:type="dxa"/>
              <w:end w:w="100" w:type="dxa"/>
            </w:tcMar>
          </w:tcPr>
          <w:p>
            <w:r>
              <w:t>Flexible</w:t>
            </w:r>
          </w:p>
        </w:tc>
        <w:tc>
          <w:tcPr>
            <w:tcW w:type="dxa" w:w="4997"/>
            <w:vAlign w:val="top"/>
            <w:tcMar>
              <w:top w:w="80" w:type="dxa"/>
              <w:start w:w="100" w:type="dxa"/>
              <w:bottom w:w="80" w:type="dxa"/>
              <w:end w:w="100" w:type="dxa"/>
            </w:tcMar>
          </w:tcPr>
          <w:p>
            <w:r>
              <w:t>Optional services and future market/instrument support can evolve without destabilizing the core.</w:t>
            </w:r>
          </w:p>
        </w:tc>
      </w:tr>
      <w:tr>
        <w:trPr>
          <w:cantSplit/>
        </w:trPr>
        <w:tc>
          <w:tcPr>
            <w:tcW w:type="dxa" w:w="4997"/>
            <w:vAlign w:val="top"/>
            <w:tcMar>
              <w:top w:w="80" w:type="dxa"/>
              <w:start w:w="100" w:type="dxa"/>
              <w:bottom w:w="80" w:type="dxa"/>
              <w:end w:w="100" w:type="dxa"/>
            </w:tcMar>
          </w:tcPr>
          <w:p>
            <w:r>
              <w:t>Deterministic core</w:t>
            </w:r>
          </w:p>
        </w:tc>
        <w:tc>
          <w:tcPr>
            <w:tcW w:type="dxa" w:w="4997"/>
            <w:vAlign w:val="top"/>
            <w:tcMar>
              <w:top w:w="80" w:type="dxa"/>
              <w:start w:w="100" w:type="dxa"/>
              <w:bottom w:w="80" w:type="dxa"/>
              <w:end w:w="100" w:type="dxa"/>
            </w:tcMar>
          </w:tcPr>
          <w:p>
            <w:r>
              <w:t>Execution-critical behavior should be explicit and reproducible wherever possible.</w:t>
            </w:r>
          </w:p>
        </w:tc>
      </w:tr>
      <w:tr>
        <w:trPr>
          <w:cantSplit/>
        </w:trPr>
        <w:tc>
          <w:tcPr>
            <w:tcW w:type="dxa" w:w="4997"/>
            <w:vAlign w:val="top"/>
            <w:tcMar>
              <w:top w:w="80" w:type="dxa"/>
              <w:start w:w="100" w:type="dxa"/>
              <w:bottom w:w="80" w:type="dxa"/>
              <w:end w:w="100" w:type="dxa"/>
            </w:tcMar>
          </w:tcPr>
          <w:p>
            <w:r>
              <w:t>Ambiguity delegation</w:t>
            </w:r>
          </w:p>
        </w:tc>
        <w:tc>
          <w:tcPr>
            <w:tcW w:type="dxa" w:w="4997"/>
            <w:vAlign w:val="top"/>
            <w:tcMar>
              <w:top w:w="80" w:type="dxa"/>
              <w:start w:w="100" w:type="dxa"/>
              <w:bottom w:w="80" w:type="dxa"/>
              <w:end w:w="100" w:type="dxa"/>
            </w:tcMar>
          </w:tcPr>
          <w:p>
            <w:r>
              <w:t>When deterministic logic reaches genuine ambiguity, the owning domain may consult the external Agents service.</w:t>
            </w:r>
          </w:p>
        </w:tc>
      </w:tr>
      <w:tr>
        <w:trPr>
          <w:cantSplit/>
        </w:trPr>
        <w:tc>
          <w:tcPr>
            <w:tcW w:type="dxa" w:w="4997"/>
            <w:vAlign w:val="top"/>
            <w:tcMar>
              <w:top w:w="80" w:type="dxa"/>
              <w:start w:w="100" w:type="dxa"/>
              <w:bottom w:w="80" w:type="dxa"/>
              <w:end w:w="100" w:type="dxa"/>
            </w:tcMar>
          </w:tcPr>
          <w:p>
            <w:r>
              <w:t>Explainable authority</w:t>
            </w:r>
          </w:p>
        </w:tc>
        <w:tc>
          <w:tcPr>
            <w:tcW w:type="dxa" w:w="4997"/>
            <w:vAlign w:val="top"/>
            <w:tcMar>
              <w:top w:w="80" w:type="dxa"/>
              <w:start w:w="100" w:type="dxa"/>
              <w:bottom w:w="80" w:type="dxa"/>
              <w:end w:w="100" w:type="dxa"/>
            </w:tcMar>
          </w:tcPr>
          <w:p>
            <w:r>
              <w:t>Truth, risk authority, user authority, automation and advice are explicitly separated.</w:t>
            </w:r>
          </w:p>
        </w:tc>
      </w:tr>
      <w:tr>
        <w:trPr>
          <w:cantSplit/>
        </w:trPr>
        <w:tc>
          <w:tcPr>
            <w:tcW w:type="dxa" w:w="4997"/>
            <w:vAlign w:val="top"/>
            <w:tcMar>
              <w:top w:w="80" w:type="dxa"/>
              <w:start w:w="100" w:type="dxa"/>
              <w:bottom w:w="80" w:type="dxa"/>
              <w:end w:w="100" w:type="dxa"/>
            </w:tcMar>
          </w:tcPr>
          <w:p>
            <w:r>
              <w:t>Fail safely</w:t>
            </w:r>
          </w:p>
        </w:tc>
        <w:tc>
          <w:tcPr>
            <w:tcW w:type="dxa" w:w="4997"/>
            <w:vAlign w:val="top"/>
            <w:tcMar>
              <w:top w:w="80" w:type="dxa"/>
              <w:start w:w="100" w:type="dxa"/>
              <w:bottom w:w="80" w:type="dxa"/>
              <w:end w:w="100" w:type="dxa"/>
            </w:tcMar>
          </w:tcPr>
          <w:p>
            <w:r>
              <w:t>Failure must not silently increase authority or create new risk.</w:t>
            </w:r>
          </w:p>
        </w:tc>
      </w:tr>
    </w:tbl>
    <w:p/>
    <w:p>
      <w:r>
        <w:t>A useful engineering maxim carried forward from the scanner work is:</w:t>
      </w:r>
    </w:p>
    <w:p>
      <w:pPr>
        <w:jc w:val="center"/>
      </w:pPr>
      <w:r>
        <w:rPr>
          <w:i/>
        </w:rPr>
        <w:t>“Make the measurement engine sophisticated enough to represent reality; make the prediction/intelligence engine only as sophisticated as historical evidence justifies.”</w:t>
      </w:r>
    </w:p>
    <w:p>
      <w:pPr>
        <w:pStyle w:val="Heading1"/>
      </w:pPr>
      <w:r>
        <w:t>3. System Scope</w:t>
      </w:r>
    </w:p>
    <w:p>
      <w:r>
        <w:t>TM initially targets Indian Equity and Index derivatives. The architecture must not prevent later CASH support. Commodity support is not planned for V1 but should remain possible without redesign. Crypto is explicitly outside the scope.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center"/>
            <w:tcMar>
              <w:top w:w="80" w:type="dxa"/>
              <w:start w:w="100" w:type="dxa"/>
              <w:bottom w:w="80" w:type="dxa"/>
              <w:end w:w="100" w:type="dxa"/>
            </w:tcMar>
          </w:tcPr>
          <w:p>
            <w:r>
              <w:rPr>
                <w:b/>
              </w:rPr>
              <w:t>Dimension</w:t>
            </w:r>
          </w:p>
        </w:tc>
        <w:tc>
          <w:tcPr>
            <w:tcW w:type="dxa" w:w="4997"/>
            <w:shd w:fill="D9EAF7"/>
            <w:vAlign w:val="center"/>
            <w:tcMar>
              <w:top w:w="80" w:type="dxa"/>
              <w:start w:w="100" w:type="dxa"/>
              <w:bottom w:w="80" w:type="dxa"/>
              <w:end w:w="100" w:type="dxa"/>
            </w:tcMar>
          </w:tcPr>
          <w:p>
            <w:r>
              <w:rPr>
                <w:b/>
              </w:rPr>
              <w:t>Current baseline</w:t>
            </w:r>
          </w:p>
        </w:tc>
      </w:tr>
      <w:tr>
        <w:trPr>
          <w:cantSplit/>
        </w:trPr>
        <w:tc>
          <w:tcPr>
            <w:tcW w:type="dxa" w:w="4997"/>
            <w:vAlign w:val="top"/>
            <w:tcMar>
              <w:top w:w="80" w:type="dxa"/>
              <w:start w:w="100" w:type="dxa"/>
              <w:bottom w:w="80" w:type="dxa"/>
              <w:end w:w="100" w:type="dxa"/>
            </w:tcMar>
          </w:tcPr>
          <w:p>
            <w:r>
              <w:t>Asset Class</w:t>
            </w:r>
          </w:p>
        </w:tc>
        <w:tc>
          <w:tcPr>
            <w:tcW w:type="dxa" w:w="4997"/>
            <w:vAlign w:val="top"/>
            <w:tcMar>
              <w:top w:w="80" w:type="dxa"/>
              <w:start w:w="100" w:type="dxa"/>
              <w:bottom w:w="80" w:type="dxa"/>
              <w:end w:w="100" w:type="dxa"/>
            </w:tcMar>
          </w:tcPr>
          <w:p>
            <w:r>
              <w:t>EQUITY, INDEX</w:t>
            </w:r>
          </w:p>
        </w:tc>
      </w:tr>
      <w:tr>
        <w:trPr>
          <w:cantSplit/>
        </w:trPr>
        <w:tc>
          <w:tcPr>
            <w:tcW w:type="dxa" w:w="4997"/>
            <w:vAlign w:val="top"/>
            <w:tcMar>
              <w:top w:w="80" w:type="dxa"/>
              <w:start w:w="100" w:type="dxa"/>
              <w:bottom w:w="80" w:type="dxa"/>
              <w:end w:w="100" w:type="dxa"/>
            </w:tcMar>
          </w:tcPr>
          <w:p>
            <w:r>
              <w:t>Instrument Type</w:t>
            </w:r>
          </w:p>
        </w:tc>
        <w:tc>
          <w:tcPr>
            <w:tcW w:type="dxa" w:w="4997"/>
            <w:vAlign w:val="top"/>
            <w:tcMar>
              <w:top w:w="80" w:type="dxa"/>
              <w:start w:w="100" w:type="dxa"/>
              <w:bottom w:w="80" w:type="dxa"/>
              <w:end w:w="100" w:type="dxa"/>
            </w:tcMar>
          </w:tcPr>
          <w:p>
            <w:r>
              <w:t>FUTURE, OPTION initially; CASH later</w:t>
            </w:r>
          </w:p>
        </w:tc>
      </w:tr>
      <w:tr>
        <w:trPr>
          <w:cantSplit/>
        </w:trPr>
        <w:tc>
          <w:tcPr>
            <w:tcW w:type="dxa" w:w="4997"/>
            <w:vAlign w:val="top"/>
            <w:tcMar>
              <w:top w:w="80" w:type="dxa"/>
              <w:start w:w="100" w:type="dxa"/>
              <w:bottom w:w="80" w:type="dxa"/>
              <w:end w:w="100" w:type="dxa"/>
            </w:tcMar>
          </w:tcPr>
          <w:p>
            <w:r>
              <w:t>Trade Type</w:t>
            </w:r>
          </w:p>
        </w:tc>
        <w:tc>
          <w:tcPr>
            <w:tcW w:type="dxa" w:w="4997"/>
            <w:vAlign w:val="top"/>
            <w:tcMar>
              <w:top w:w="80" w:type="dxa"/>
              <w:start w:w="100" w:type="dxa"/>
              <w:bottom w:w="80" w:type="dxa"/>
              <w:end w:w="100" w:type="dxa"/>
            </w:tcMar>
          </w:tcPr>
          <w:p>
            <w:r>
              <w:t>DAY, BTST, STBT, POS</w:t>
            </w:r>
          </w:p>
        </w:tc>
      </w:tr>
      <w:tr>
        <w:trPr>
          <w:cantSplit/>
        </w:trPr>
        <w:tc>
          <w:tcPr>
            <w:tcW w:type="dxa" w:w="4997"/>
            <w:vAlign w:val="top"/>
            <w:tcMar>
              <w:top w:w="80" w:type="dxa"/>
              <w:start w:w="100" w:type="dxa"/>
              <w:bottom w:w="80" w:type="dxa"/>
              <w:end w:w="100" w:type="dxa"/>
            </w:tcMar>
          </w:tcPr>
          <w:p>
            <w:r>
              <w:t>F&amp;O lifecycle</w:t>
            </w:r>
          </w:p>
        </w:tc>
        <w:tc>
          <w:tcPr>
            <w:tcW w:type="dxa" w:w="4997"/>
            <w:vAlign w:val="top"/>
            <w:tcMar>
              <w:top w:w="80" w:type="dxa"/>
              <w:start w:w="100" w:type="dxa"/>
              <w:bottom w:w="80" w:type="dxa"/>
              <w:end w:w="100" w:type="dxa"/>
            </w:tcMar>
          </w:tcPr>
          <w:p>
            <w:r>
              <w:t>Contract expiry is explicit and independent of trade horizon</w:t>
            </w:r>
          </w:p>
        </w:tc>
      </w:tr>
      <w:tr>
        <w:trPr>
          <w:cantSplit/>
        </w:trPr>
        <w:tc>
          <w:tcPr>
            <w:tcW w:type="dxa" w:w="4997"/>
            <w:vAlign w:val="top"/>
            <w:tcMar>
              <w:top w:w="80" w:type="dxa"/>
              <w:start w:w="100" w:type="dxa"/>
              <w:bottom w:w="80" w:type="dxa"/>
              <w:end w:w="100" w:type="dxa"/>
            </w:tcMar>
          </w:tcPr>
          <w:p>
            <w:r>
              <w:t>Trade horizon</w:t>
            </w:r>
          </w:p>
        </w:tc>
        <w:tc>
          <w:tcPr>
            <w:tcW w:type="dxa" w:w="4997"/>
            <w:vAlign w:val="top"/>
            <w:tcMar>
              <w:top w:w="80" w:type="dxa"/>
              <w:start w:w="100" w:type="dxa"/>
              <w:bottom w:w="80" w:type="dxa"/>
              <w:end w:w="100" w:type="dxa"/>
            </w:tcMar>
          </w:tcPr>
          <w:p>
            <w:r>
              <w:t>Every trade has an intended time horizon/date-time</w:t>
            </w:r>
          </w:p>
        </w:tc>
      </w:tr>
    </w:tbl>
    <w:p/>
    <w:p>
      <w:r>
        <w:t>Trade type describes holding intent, not instrument class. Expiry describes the derivative contract lifecycle, whereas horizon describes the intended trading thesis duration. These must remain separate.</w:t>
      </w:r>
    </w:p>
    <w:p>
      <w:pPr>
        <w:pStyle w:val="Heading1"/>
      </w:pPr>
      <w:r>
        <w:t>4. Canonical High-Level Architecture</w:t>
      </w:r>
    </w:p>
    <w:p>
      <w:pPr>
        <w:pStyle w:val="TMCode"/>
        <w:keepLines/>
      </w:pPr>
      <w:r>
        <w:t xml:space="preserve">                     CORE TM MANAGER</w:t>
        <w:br/>
        <w:t xml:space="preserve">             coordination • context • supervision</w:t>
        <w:br/>
        <w:t xml:space="preserve">                           │</w:t>
        <w:br/>
        <w:t xml:space="preserve">          ┌────────────────┼────────────────┐</w:t>
        <w:br/>
        <w:t xml:space="preserve">          │                │                │</w:t>
        <w:br/>
        <w:t xml:space="preserve">     INTAKE / ENTRY       RISK        POSITION / EXIT</w:t>
        <w:br/>
        <w:t xml:space="preserve">         DOMAIN          DOMAIN            DOMAIN</w:t>
        <w:br/>
        <w:t xml:space="preserve">          │                │                │</w:t>
        <w:br/>
        <w:t xml:space="preserve">          └────────────────┼────────────────┘</w:t>
        <w:br/>
        <w:t xml:space="preserve">                           │</w:t>
        <w:br/>
        <w:t xml:space="preserve">                 EXECUTION MODULE M</w:t>
        <w:br/>
        <w:t xml:space="preserve">                           │</w:t>
        <w:br/>
        <w:t xml:space="preserve">                         BROKER</w:t>
        <w:br/>
        <w:br/>
        <w:t>External systems/services:</w:t>
        <w:br/>
        <w:t>Market Data • DayScanner • Positional Scanner • Google Sheet/CGPT • Agents Service</w:t>
      </w:r>
    </w:p>
    <w:p>
      <w:r>
        <w:t>This picture is intentionally small. The complexity is absorbed by domain responsibility and synchronized contexts rather than by creating many cross-coupled central services.</w:t>
      </w:r>
    </w:p>
    <w:p>
      <w:pPr>
        <w:pStyle w:val="Heading1"/>
      </w:pPr>
      <w:r>
        <w:t>5. Core TM Manager: Coordinator, Not Expert</w:t>
      </w:r>
    </w:p>
    <w:p>
      <w:r>
        <w:t>The Core TM Manager plays a role analogous to a CPU control unit coordinating multiple context/register-like states. It should remain small, supervisory and orchestration-focused. It is not responsible for deciding whether a stock is bullish, whether an option contract is attractive, whether a position should exit, or whether a trade is within risk limits. Those questions belong to the relevant expert domains.</w:t>
      </w:r>
    </w:p>
    <w:p>
      <w:r>
        <w:t>The Core coordinates and keeps multiple contexts coherent, including:</w:t>
      </w:r>
    </w:p>
    <w:p>
      <w:pPr>
        <w:pStyle w:val="ListBullet"/>
      </w:pPr>
      <w:r>
        <w:t>Market Context — current price/candle state and feed health.</w:t>
      </w:r>
    </w:p>
    <w:p>
      <w:pPr>
        <w:pStyle w:val="ListBullet"/>
      </w:pPr>
      <w:r>
        <w:t>Broker Context — orders, fills, positions, funds/margin and broker health.</w:t>
      </w:r>
    </w:p>
    <w:p>
      <w:pPr>
        <w:pStyle w:val="ListBullet"/>
      </w:pPr>
      <w:r>
        <w:t>Trade/Entry Context — monitored opportunities, entry progress and trade intent.</w:t>
      </w:r>
    </w:p>
    <w:p>
      <w:pPr>
        <w:pStyle w:val="ListBullet"/>
      </w:pPr>
      <w:r>
        <w:t>Position Context — live positions, management status and management state.</w:t>
      </w:r>
    </w:p>
    <w:p>
      <w:pPr>
        <w:pStyle w:val="ListBullet"/>
      </w:pPr>
      <w:r>
        <w:t>Risk Context — active risk profile, exposure, loss/drawdown and blocks.</w:t>
      </w:r>
    </w:p>
    <w:p>
      <w:pPr>
        <w:pStyle w:val="ListBullet"/>
      </w:pPr>
      <w:r>
        <w:t>Decision Context — pending agent reviews, user decisions and execution intent.</w:t>
      </w:r>
    </w:p>
    <w:p>
      <w:pPr>
        <w:pStyle w:val="ListBullet"/>
      </w:pPr>
      <w:r>
        <w:t>System/Health Context — operating mode and domain/component health.</w:t>
      </w:r>
    </w:p>
    <w:p>
      <w:r>
        <w:t>The coordination pattern is event-driven: an event changes the relevant context, the owning domain evaluates it, a valid result is emitted, and the Core coordinates the next legitimate action. Multiple modules may work concurrently, but authoritative state transitions are controlled rather than allowing arbitrary shared-state mutation.</w:t>
      </w:r>
    </w:p>
    <w:p>
      <w:pPr>
        <w:pStyle w:val="Heading1"/>
      </w:pPr>
      <w:r>
        <w:t>6. Truth vs Authority</w:t>
      </w:r>
    </w:p>
    <w:p>
      <w:r>
        <w:t>TradeMonitor makes a strict distinction between factual truth and decision authority. This distinction is foundational.</w:t>
      </w:r>
    </w:p>
    <w:p>
      <w:r>
        <w:t>Broker reality is factual truth for orders, fills and positions. If TM expects a position quantity of 475 but the broker reports 250, the position is 250. If the broker reports the position closed, the position is closed in TM. A broker result is not “voted on.” TM reconciles to it.</w:t>
      </w:r>
    </w:p>
    <w:p>
      <w:r>
        <w:t>Market data is factual truth for price/candle observations within its quality/freshness guarantees. Stale or missing data is not interpreted as unchanged price.</w:t>
      </w:r>
    </w:p>
    <w:p>
      <w:r>
        <w:t>Runtime decision authority is:</w:t>
      </w:r>
    </w:p>
    <w:p>
      <w:pPr>
        <w:pStyle w:val="TMCode"/>
        <w:keepLines/>
      </w:pPr>
      <w:r>
        <w:t>1. RISK MANAGEMENT</w:t>
        <w:br/>
        <w:t>2. USER</w:t>
        <w:br/>
        <w:t>3. NORMAL TM POLICIES / DECISION LOGIC</w:t>
        <w:br/>
        <w:t>4. AGENTS / ADVISORY INTELLIGENCE</w:t>
        <w:br/>
        <w:br/>
        <w:t>BROKER REALITY remains outside this hierarchy because it is truth, not authority.</w:t>
      </w:r>
    </w:p>
    <w:p>
      <w:r>
        <w:t>Risk Management is the highest operational authority inside TM. A normal user command cannot bypass it. The User can change Risk Management only through a deliberate Setup/Admin workflow, with explicit review, reason, confirmation and logging.</w:t>
      </w:r>
    </w:p>
    <w:p>
      <w:pPr>
        <w:pStyle w:val="Heading1"/>
      </w:pPr>
      <w:r>
        <w:t>7. Risk Management</w:t>
      </w:r>
    </w:p>
    <w:p>
      <w:r>
        <w:t>Risk Management (RM) is a supervisory layer, not merely another trade policy. It governs whether new exposure may be created and whether configured hard protective constraints require action. It may consider trade-level, account-level and portfolio-level information.</w:t>
      </w:r>
    </w:p>
    <w:p>
      <w:r>
        <w:t>The central invariant is:</w:t>
      </w:r>
    </w:p>
    <w:p>
      <w:pPr>
        <w:jc w:val="center"/>
      </w:pPr>
      <w:r>
        <w:rPr>
          <w:b/>
        </w:rPr>
        <w:t>Nothing creating risk reaches Module M without current Risk Management permission.</w:t>
      </w:r>
    </w:p>
    <w:p>
      <w:r>
        <w:t>RM may block an otherwise attractive trade even if the Entry domain, Agents and User support it. An RM block cannot be overridden from the ordinary trade flow. To change the governing rule, the User must deliberately enter Setup/Admin and modify the RM configuration itself.</w:t>
      </w:r>
    </w:p>
    <w:p>
      <w:r>
        <w:t>Every RM block must be logged. Significant RM interventions must be reconstructable later: what was requested, which risk rule/profile governed it, what value/limit caused the block, and when it occurred.</w:t>
      </w:r>
    </w:p>
    <w:p>
      <w:r>
        <w:t>Risk settings should be versioned rather than silently overwritten. A risk configuration change must not cause previously blocked trades to spring into execution automatically; they require a fresh evaluation under the new profile.</w:t>
      </w:r>
    </w:p>
    <w:p>
      <w:pPr>
        <w:pStyle w:val="Heading1"/>
      </w:pPr>
      <w:r>
        <w:t>8. User Authority and Setup/Admin Boundary</w:t>
      </w:r>
    </w:p>
    <w:p>
      <w:r>
        <w:t>The User is the highest normal discretionary authority. User actions may approve/reject/wait on an agent disagreement, change ordinary trade-management instructions, request exits, adopt broker positions, convert trade intent, or pause/cancel an opportunity. These actions remain subject to RM where they create or continue risk.</w:t>
      </w:r>
    </w:p>
    <w:p>
      <w:r>
        <w:t>The Setup/Admin path is distinct from ordinary trading. It is the only path for changing risk configuration and other high-consequence system governance settings. Changes should be deliberate, reviewable and logged. There should be no casual “force,” “ignore-risk” or hidden override mechanism in normal trade commands.</w:t>
      </w:r>
    </w:p>
    <w:p>
      <w:pPr>
        <w:pStyle w:val="Heading1"/>
      </w:pPr>
      <w:r>
        <w:t>9. Position Model: One Universe, Hard Management Boundary</w:t>
      </w:r>
    </w:p>
    <w:p>
      <w:r>
        <w:t>TM uses one unified position universe. Positions are distinguished by management status rather than by creating separate “external” and “TM” object worlds.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center"/>
            <w:tcMar>
              <w:top w:w="80" w:type="dxa"/>
              <w:start w:w="100" w:type="dxa"/>
              <w:bottom w:w="80" w:type="dxa"/>
              <w:end w:w="100" w:type="dxa"/>
            </w:tcMar>
          </w:tcPr>
          <w:p>
            <w:r>
              <w:rPr>
                <w:b/>
              </w:rPr>
              <w:t>Management status</w:t>
            </w:r>
          </w:p>
        </w:tc>
        <w:tc>
          <w:tcPr>
            <w:tcW w:type="dxa" w:w="4997"/>
            <w:shd w:fill="D9EAF7"/>
            <w:vAlign w:val="center"/>
            <w:tcMar>
              <w:top w:w="80" w:type="dxa"/>
              <w:start w:w="100" w:type="dxa"/>
              <w:bottom w:w="80" w:type="dxa"/>
              <w:end w:w="100" w:type="dxa"/>
            </w:tcMar>
          </w:tcPr>
          <w:p>
            <w:r>
              <w:rPr>
                <w:b/>
              </w:rPr>
              <w:t>Meaning</w:t>
            </w:r>
          </w:p>
        </w:tc>
      </w:tr>
      <w:tr>
        <w:trPr>
          <w:cantSplit/>
        </w:trPr>
        <w:tc>
          <w:tcPr>
            <w:tcW w:type="dxa" w:w="4997"/>
            <w:vAlign w:val="top"/>
            <w:tcMar>
              <w:top w:w="80" w:type="dxa"/>
              <w:start w:w="100" w:type="dxa"/>
              <w:bottom w:w="80" w:type="dxa"/>
              <w:end w:w="100" w:type="dxa"/>
            </w:tcMar>
          </w:tcPr>
          <w:p>
            <w:r>
              <w:t>MANAGED</w:t>
            </w:r>
          </w:p>
        </w:tc>
        <w:tc>
          <w:tcPr>
            <w:tcW w:type="dxa" w:w="4997"/>
            <w:vAlign w:val="top"/>
            <w:tcMar>
              <w:top w:w="80" w:type="dxa"/>
              <w:start w:w="100" w:type="dxa"/>
              <w:bottom w:w="80" w:type="dxa"/>
              <w:end w:w="100" w:type="dxa"/>
            </w:tcMar>
          </w:tcPr>
          <w:p>
            <w:r>
              <w:t>TM is allowed to apply management rules, position policy, strategic reviews and broker operations according to authority/risk.</w:t>
            </w:r>
          </w:p>
        </w:tc>
      </w:tr>
      <w:tr>
        <w:trPr>
          <w:cantSplit/>
        </w:trPr>
        <w:tc>
          <w:tcPr>
            <w:tcW w:type="dxa" w:w="4997"/>
            <w:vAlign w:val="top"/>
            <w:tcMar>
              <w:top w:w="80" w:type="dxa"/>
              <w:start w:w="100" w:type="dxa"/>
              <w:bottom w:w="80" w:type="dxa"/>
              <w:end w:w="100" w:type="dxa"/>
            </w:tcMar>
          </w:tcPr>
          <w:p>
            <w:r>
              <w:t>UNMANAGED</w:t>
            </w:r>
          </w:p>
        </w:tc>
        <w:tc>
          <w:tcPr>
            <w:tcW w:type="dxa" w:w="4997"/>
            <w:vAlign w:val="top"/>
            <w:tcMar>
              <w:top w:w="80" w:type="dxa"/>
              <w:start w:w="100" w:type="dxa"/>
              <w:bottom w:w="80" w:type="dxa"/>
              <w:end w:w="100" w:type="dxa"/>
            </w:tcMar>
          </w:tcPr>
          <w:p>
            <w:r>
              <w:t>TM sees and reconciles the broker position and RM may count it, but TM may not operate on it.</w:t>
            </w:r>
          </w:p>
        </w:tc>
      </w:tr>
    </w:tbl>
    <w:p/>
    <w:p>
      <w:r>
        <w:t>The boundary is intentionally hard. For an UNMANAGED position, TM may observe, reconcile, display, count exposure/margin/P&amp;L in RM, and raise warnings. It may not attach SL/TP/TSL, hedge, partially exit, convert, close, or submit any Module M operation against that position.</w:t>
      </w:r>
    </w:p>
    <w:p>
      <w:r>
        <w:t>Only an explicit adoption action can cross the boundary. After adoption, the position becomes MANAGED and uses the same Position/Exit machinery as native TM-created positions. Provenance such as TM_NATIVE or BROKER_ADOPTED may be retained for history, but provenance is not management authority.</w:t>
      </w:r>
    </w:p>
    <w:p>
      <w:pPr>
        <w:pStyle w:val="Heading1"/>
      </w:pPr>
      <w:r>
        <w:t>10. Trade Intent and Holding Horizon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center"/>
            <w:tcMar>
              <w:top w:w="80" w:type="dxa"/>
              <w:start w:w="100" w:type="dxa"/>
              <w:bottom w:w="80" w:type="dxa"/>
              <w:end w:w="100" w:type="dxa"/>
            </w:tcMar>
          </w:tcPr>
          <w:p>
            <w:r>
              <w:rPr>
                <w:b/>
              </w:rPr>
              <w:t>Trade Type</w:t>
            </w:r>
          </w:p>
        </w:tc>
        <w:tc>
          <w:tcPr>
            <w:tcW w:type="dxa" w:w="4997"/>
            <w:shd w:fill="D9EAF7"/>
            <w:vAlign w:val="center"/>
            <w:tcMar>
              <w:top w:w="80" w:type="dxa"/>
              <w:start w:w="100" w:type="dxa"/>
              <w:bottom w:w="80" w:type="dxa"/>
              <w:end w:w="100" w:type="dxa"/>
            </w:tcMar>
          </w:tcPr>
          <w:p>
            <w:r>
              <w:rPr>
                <w:b/>
              </w:rPr>
              <w:t>Intent</w:t>
            </w:r>
          </w:p>
        </w:tc>
      </w:tr>
      <w:tr>
        <w:trPr>
          <w:cantSplit/>
        </w:trPr>
        <w:tc>
          <w:tcPr>
            <w:tcW w:type="dxa" w:w="4997"/>
            <w:vAlign w:val="top"/>
            <w:tcMar>
              <w:top w:w="80" w:type="dxa"/>
              <w:start w:w="100" w:type="dxa"/>
              <w:bottom w:w="80" w:type="dxa"/>
              <w:end w:w="100" w:type="dxa"/>
            </w:tcMar>
          </w:tcPr>
          <w:p>
            <w:r>
              <w:t>DAY</w:t>
            </w:r>
          </w:p>
        </w:tc>
        <w:tc>
          <w:tcPr>
            <w:tcW w:type="dxa" w:w="4997"/>
            <w:vAlign w:val="top"/>
            <w:tcMar>
              <w:top w:w="80" w:type="dxa"/>
              <w:start w:w="100" w:type="dxa"/>
              <w:bottom w:w="80" w:type="dxa"/>
              <w:end w:w="100" w:type="dxa"/>
            </w:tcMar>
          </w:tcPr>
          <w:p>
            <w:r>
              <w:t>Intraday position; should not unintentionally carry overnight.</w:t>
            </w:r>
          </w:p>
        </w:tc>
      </w:tr>
      <w:tr>
        <w:trPr>
          <w:cantSplit/>
        </w:trPr>
        <w:tc>
          <w:tcPr>
            <w:tcW w:type="dxa" w:w="4997"/>
            <w:vAlign w:val="top"/>
            <w:tcMar>
              <w:top w:w="80" w:type="dxa"/>
              <w:start w:w="100" w:type="dxa"/>
              <w:bottom w:w="80" w:type="dxa"/>
              <w:end w:w="100" w:type="dxa"/>
            </w:tcMar>
          </w:tcPr>
          <w:p>
            <w:r>
              <w:t>BTST</w:t>
            </w:r>
          </w:p>
        </w:tc>
        <w:tc>
          <w:tcPr>
            <w:tcW w:type="dxa" w:w="4997"/>
            <w:vAlign w:val="top"/>
            <w:tcMar>
              <w:top w:w="80" w:type="dxa"/>
              <w:start w:w="100" w:type="dxa"/>
              <w:bottom w:w="80" w:type="dxa"/>
              <w:end w:w="100" w:type="dxa"/>
            </w:tcMar>
          </w:tcPr>
          <w:p>
            <w:r>
              <w:t>Buy today, carry for short overnight bullish intent.</w:t>
            </w:r>
          </w:p>
        </w:tc>
      </w:tr>
      <w:tr>
        <w:trPr>
          <w:cantSplit/>
        </w:trPr>
        <w:tc>
          <w:tcPr>
            <w:tcW w:type="dxa" w:w="4997"/>
            <w:vAlign w:val="top"/>
            <w:tcMar>
              <w:top w:w="80" w:type="dxa"/>
              <w:start w:w="100" w:type="dxa"/>
              <w:bottom w:w="80" w:type="dxa"/>
              <w:end w:w="100" w:type="dxa"/>
            </w:tcMar>
          </w:tcPr>
          <w:p>
            <w:r>
              <w:t>STBT</w:t>
            </w:r>
          </w:p>
        </w:tc>
        <w:tc>
          <w:tcPr>
            <w:tcW w:type="dxa" w:w="4997"/>
            <w:vAlign w:val="top"/>
            <w:tcMar>
              <w:top w:w="80" w:type="dxa"/>
              <w:start w:w="100" w:type="dxa"/>
              <w:bottom w:w="80" w:type="dxa"/>
              <w:end w:w="100" w:type="dxa"/>
            </w:tcMar>
          </w:tcPr>
          <w:p>
            <w:r>
              <w:t>Sell today, carry for short overnight bearish intent where supported.</w:t>
            </w:r>
          </w:p>
        </w:tc>
      </w:tr>
      <w:tr>
        <w:trPr>
          <w:cantSplit/>
        </w:trPr>
        <w:tc>
          <w:tcPr>
            <w:tcW w:type="dxa" w:w="4997"/>
            <w:vAlign w:val="top"/>
            <w:tcMar>
              <w:top w:w="80" w:type="dxa"/>
              <w:start w:w="100" w:type="dxa"/>
              <w:bottom w:w="80" w:type="dxa"/>
              <w:end w:w="100" w:type="dxa"/>
            </w:tcMar>
          </w:tcPr>
          <w:p>
            <w:r>
              <w:t>POS</w:t>
            </w:r>
          </w:p>
        </w:tc>
        <w:tc>
          <w:tcPr>
            <w:tcW w:type="dxa" w:w="4997"/>
            <w:vAlign w:val="top"/>
            <w:tcMar>
              <w:top w:w="80" w:type="dxa"/>
              <w:start w:w="100" w:type="dxa"/>
              <w:bottom w:w="80" w:type="dxa"/>
              <w:end w:w="100" w:type="dxa"/>
            </w:tcMar>
          </w:tcPr>
          <w:p>
            <w:r>
              <w:t>Positional multi-day intent governed by thesis, horizon and policy.</w:t>
            </w:r>
          </w:p>
        </w:tc>
      </w:tr>
    </w:tbl>
    <w:p/>
    <w:p>
      <w:r>
        <w:t>Every trade carries an intended horizon. F&amp;O trades additionally carry contract expiry. Horizon and expiry are independent. A POS option may have a horizon on 18-Sep while its derivative contract expires on 29-Sep. TM should understand both and may derive the remaining expiry buffer as decision context.</w:t>
      </w:r>
    </w:p>
    <w:p>
      <w:r>
        <w:t>A DAY trade does not silently become BTST/POS because market close arrives. Any change in holding intent must be deliberate and processed as a conversion/re-plan, including appropriate management/risk review.</w:t>
      </w:r>
    </w:p>
    <w:p>
      <w:pPr>
        <w:pStyle w:val="Heading1"/>
      </w:pPr>
      <w:r>
        <w:t>11. Intake / Entry Domain</w:t>
      </w:r>
    </w:p>
    <w:p>
      <w:r>
        <w:t>The Intake/Entry domain owns opportunity intake, reconciliation, monitoring, trigger/confirmation logic, trade preparation and entry decision flow. It receives information from scanners, Sheet/CGPT, User, Agent suggestions and other future sources without letting any one source become the operational state machine.</w:t>
      </w:r>
    </w:p>
    <w:p>
      <w:r>
        <w:t>The Entry domain, not Module M, prepares the trade. It is responsible for establishing that an actionable trade exists, applying deterministic checks, invoking Agents when required, resolving disagreement through User escalation, and obtaining current RM permission before producing an execution request.</w:t>
      </w:r>
    </w:p>
    <w:p>
      <w:r>
        <w:t>A “Candidate” should remain an operational notion — an opportunity/episode currently admitted to monitoring — rather than becoming another overlapping heavyweight entity. This avoids conceptual duplication among idea/opportunity/outcome/episode/candidate/trade plan.</w:t>
      </w:r>
    </w:p>
    <w:p>
      <w:pPr>
        <w:pStyle w:val="Heading1"/>
      </w:pPr>
      <w:r>
        <w:t>12. Trade Intake, Source Identity and De-duplication (TM0.12)</w:t>
      </w:r>
    </w:p>
    <w:p>
      <w:r>
        <w:t>TM receives repeated or overlapping trade information from multiple sources. De-duplication cannot be based on symbol alone. The architecture separates source identity, broad outcome identity, temporal relevance and actual exposure.</w:t>
      </w:r>
    </w:p>
    <w:p>
      <w:pPr>
        <w:pStyle w:val="TMCode"/>
        <w:keepLines/>
      </w:pPr>
      <w:r>
        <w:t>SOURCE OBSERVATION</w:t>
        <w:br/>
        <w:t xml:space="preserve">       ↓</w:t>
        <w:br/>
        <w:t>OUTCOME / OPPORTUNITY</w:t>
        <w:br/>
        <w:t xml:space="preserve">       ↓</w:t>
        <w:br/>
        <w:t>TIME-RELEVANT EPISODE</w:t>
        <w:br/>
        <w:t xml:space="preserve">       ↓</w:t>
        <w:br/>
        <w:t>TRADE DECISION / PLAN</w:t>
        <w:br/>
        <w:t xml:space="preserve">       ↓</w:t>
        <w:br/>
        <w:t>POSITION INTERACTION</w:t>
      </w:r>
    </w:p>
    <w:p>
      <w:r>
        <w:t>Source Observation answers “who/what produced this and when?” and is retained for provenance. A src_id identifies the originating observation/run/request. Same src_id with different outcomes is treated as distinct. Different src_ids with the same broad outcome are reconciled rather than blindly duplicated.</w:t>
      </w:r>
    </w:p>
    <w:p>
      <w:r>
        <w:t>Outcome describes the broad actionable idea, such as KAYNES bullish DAY breakout using CE exposure. Episode represents the time-relevant manifestation of that outcome. The same broad outcome at 10:15 and 12:15 may be a different episode because spot, strike, premium, session context, trigger status or remaining time have changed.</w:t>
      </w:r>
    </w:p>
    <w:p>
      <w:r>
        <w:t>Datetime is therefore not passive metadata. It contributes to relevance. Deterministic logic handles clear cases. If the relationship is genuinely ambiguous, the Intake domain may delegate a bounded equivalence/relevance question to the separate Agents service and then retain ownership of the resulting decision.</w:t>
      </w:r>
    </w:p>
    <w:p>
      <w:r>
        <w:t>Repeated rediscovery of an outcome must never automatically increase an existing position. If corresponding exposure already exists, the new observation may enrich context or trigger review, but ADD/scale-in requires an explicit separate decision.</w:t>
      </w:r>
    </w:p>
    <w:p>
      <w:pPr>
        <w:pStyle w:val="Heading1"/>
      </w:pPr>
      <w:r>
        <w:t>13. External Agents Service</w:t>
      </w:r>
    </w:p>
    <w:p>
      <w:r>
        <w:t>Agents are deliberately kept almost totally separate from TM. They are an external specialist service that can be called by an owning TM domain for independent validation or high-ambiguity analysis. Agents do not own TM state, do not manage positions, do not execute broker orders and do not directly change RM or trade policy.</w:t>
      </w:r>
    </w:p>
    <w:p>
      <w:r>
        <w:t>For entry/exit validation, the mandatory verdict vocabulary is exactly:</w:t>
      </w:r>
    </w:p>
    <w:p>
      <w:pPr>
        <w:pStyle w:val="TMCode"/>
        <w:keepLines/>
      </w:pPr>
      <w:r>
        <w:t>APPROVE</w:t>
        <w:br/>
        <w:t>REJECT</w:t>
        <w:br/>
        <w:t>RETREAT_WAIT</w:t>
        <w:br/>
        <w:br/>
        <w:t>+ optional suggestion</w:t>
      </w:r>
    </w:p>
    <w:p>
      <w:r>
        <w:t>The suggestion is supplementary. It may propose a different entry, contract, strike, direction or even another trade. However, it does not become execution authority. It returns to the owning TM domain, is logged, and if acted upon begins a fresh normal evaluation cycle.</w:t>
      </w:r>
    </w:p>
    <w:p>
      <w:r>
        <w:t>If Agents APPROVE, normal flow continues. If Agents REJECT or RETREAT_WAIT on an otherwise-valid discretionary decision, TM escalates to the User, who responds with APPROVE, REJECT or RETREAT_WAIT. User approval may overrule the Agent verdict, but never bypass RM.</w:t>
      </w:r>
    </w:p>
    <w:p>
      <w:r>
        <w:t>Agents can also be consulted by any domain when ambiguity is genuinely high. This is an extensible pattern: deterministic domain logic first; bounded external reasoning when needed; ownership always returns to the caller.</w:t>
      </w:r>
    </w:p>
    <w:p>
      <w:pPr>
        <w:pStyle w:val="Heading1"/>
      </w:pPr>
      <w:r>
        <w:t>14. Entry Decision Flow</w:t>
      </w:r>
    </w:p>
    <w:p>
      <w:pPr>
        <w:pStyle w:val="TMCode"/>
        <w:keepLines/>
      </w:pPr>
      <w:r>
        <w:t>Source / Opportunity</w:t>
        <w:br/>
        <w:t xml:space="preserve">       ↓</w:t>
        <w:br/>
        <w:t>Entry Domain monitoring</w:t>
        <w:br/>
        <w:t xml:space="preserve">       ↓</w:t>
        <w:br/>
        <w:t>Trigger / confirmation / deterministic validation</w:t>
        <w:br/>
        <w:t xml:space="preserve">       ↓</w:t>
        <w:br/>
        <w:t>Actionable Trade T prepared</w:t>
        <w:br/>
        <w:t xml:space="preserve">       ↓</w:t>
        <w:br/>
        <w:t>External Agents validation (when configured/needed)</w:t>
        <w:br/>
        <w:t xml:space="preserve">       ↓</w:t>
        <w:br/>
        <w:t>APPROVE → continue</w:t>
        <w:br/>
        <w:t>REJECT / RETREAT_WAIT → User escalation</w:t>
        <w:br/>
        <w:t xml:space="preserve">       ↓</w:t>
        <w:br/>
        <w:t>Current Risk Management permission</w:t>
        <w:br/>
        <w:t xml:space="preserve">       ↓</w:t>
        <w:br/>
        <w:t>Execution authorization / operating mode</w:t>
        <w:br/>
        <w:t xml:space="preserve">       ↓</w:t>
        <w:br/>
        <w:t>ExecutionRequest</w:t>
        <w:br/>
        <w:t xml:space="preserve">       ↓</w:t>
        <w:br/>
        <w:t>Module M</w:t>
        <w:br/>
        <w:t xml:space="preserve">       ↓</w:t>
        <w:br/>
        <w:t>Broker truth</w:t>
        <w:br/>
        <w:t xml:space="preserve">       ↓</w:t>
        <w:br/>
        <w:t>Position</w:t>
      </w:r>
    </w:p>
    <w:p>
      <w:r>
        <w:t>The final execution decision must remain fresh. If material market conditions change while waiting for Agents/User/RM, the Entry domain revalidates rather than executing a stale approval. Exact freshness thresholds are intentionally implementation/policy details and may evolve.</w:t>
      </w:r>
    </w:p>
    <w:p>
      <w:pPr>
        <w:pStyle w:val="Heading1"/>
      </w:pPr>
      <w:r>
        <w:t>15. Position / Exit Domain</w:t>
      </w:r>
    </w:p>
    <w:p>
      <w:r>
        <w:t>Once broker truth confirms an actual fill and a MANAGED position exists, the Position/Exit domain becomes the expert owner. It evaluates live position facts against active management rules and policies.</w:t>
      </w:r>
    </w:p>
    <w:p>
      <w:r>
        <w:t>Management may include hard or ordinary stop loss, target, trailing stop, profit lock, time exit, underlying invalidation, partial exit, trade horizon review, user instructions and strategic exit decisions. Operational state should remain compact; observations such as “near target” or “trailing active” belong to rule/context state rather than exploding the number of position states.</w:t>
      </w:r>
    </w:p>
    <w:p>
      <w:r>
        <w:t>Strategic/discretionary exit decisions may be independently reviewed by the external Agents service using the same APPROVE / REJECT / RETREAT_WAIT contract. Agent disagreement is escalated to User. Hard RM actions do not wait for Agent or ordinary User approval.</w:t>
      </w:r>
    </w:p>
    <w:p>
      <w:r>
        <w:t>Partial exits are native to the conceptual model. Broker truth determines actual remaining quantity; a position is only CLOSED when broker reality confirms zero exposure.</w:t>
      </w:r>
    </w:p>
    <w:p>
      <w:pPr>
        <w:pStyle w:val="Heading1"/>
      </w:pPr>
      <w:r>
        <w:t>16. Execution Module M</w:t>
      </w:r>
    </w:p>
    <w:p>
      <w:r>
        <w:t>Module M is the execution deployment boundary. It is intentionally narrow and should remain one of the least intelligent parts of the system.</w:t>
      </w:r>
    </w:p>
    <w:p>
      <w:r>
        <w:t>M receives an already-authorized broker-ready ExecutionRequest and is responsible for safe deployment: broker instrument resolution, order construction/submission, idempotency/duplicate prevention, broker acknowledgement, rejection handling, partial/full fill tracking, cancel/replace where policy permits, and reporting broker execution results.</w:t>
      </w:r>
    </w:p>
    <w:p>
      <w:r>
        <w:t>M does not decide whether a trade is good, whether entry confirmation passed, whether a position should be held, whether Agents agree, or whether risk is acceptable. Entry and Exit both converge on M only after their decision/authority flow is complete.</w:t>
      </w:r>
    </w:p>
    <w:p>
      <w:pPr>
        <w:pStyle w:val="TMCode"/>
        <w:keepLines/>
      </w:pPr>
      <w:r>
        <w:t>ENTRY DECISION ─┐</w:t>
        <w:br/>
        <w:t xml:space="preserve">                ├──► MODULE M ─► BROKER</w:t>
        <w:br/>
        <w:t>EXIT DECISION ──┘</w:t>
      </w:r>
    </w:p>
    <w:p>
      <w:pPr>
        <w:pStyle w:val="Heading1"/>
      </w:pPr>
      <w:r>
        <w:t>17. Operating Modes and Control Plane</w:t>
      </w:r>
    </w:p>
    <w:p>
      <w:r>
        <w:t>TM conceptually supports PAPER, SEMI_AUTO and AUTO. Their exact launch semantics may evolve, but the architectural intent is stable: PAPER never sends real broker orders; SEMI_AUTO requires User confirmation at configured discretionary points; AUTO executes already-authorized deterministic decisions without routine confirmation. AUTO does not grant permission to ignore Agent disagreement or RM.</w:t>
      </w:r>
    </w:p>
    <w:p>
      <w:r>
        <w:t>The operator experience should resemble a control room, not a scrolling debug log. A unified Positions view shows MANAGED/UNMANAGED status separately from position lifecycle state. An Attention queue surfaces only decisions and anomalies requiring awareness or action, such as Agent disagreement, RM blocks, execution uncertainty or degraded critical capability.</w:t>
      </w:r>
    </w:p>
    <w:p>
      <w:r>
        <w:t>Shutdown is not square-off. Stopping the application must not implicitly liquidate positions. Trading lifecycle and process lifecycle are different concepts.</w:t>
      </w:r>
    </w:p>
    <w:p>
      <w:pPr>
        <w:pStyle w:val="Heading1"/>
      </w:pPr>
      <w:r>
        <w:t>18. Fault Management: Vertical and Horizontal Responsibility</w:t>
      </w:r>
    </w:p>
    <w:p>
      <w:r>
        <w:t>TM adopts a hybrid fault-containment architecture derived from two forms of module relationship.</w:t>
      </w:r>
    </w:p>
    <w:p>
      <w:r>
        <w:t>Vertical hierarchy: a child failure is handled by the nearest competent parent because that parent understands the child’s semantic context best. The parent resolves/retries/degrades locally when justified. Only unresolved or higher-authority problems propagate upward toward the root/Core.</w:t>
      </w:r>
    </w:p>
    <w:p>
      <w:r>
        <w:t>Horizontal peer domains: Entry, Risk, Position/Exit, execution and other peer domains own and contain their failures. Each chooses the most meaningful local action — recover, retry, degrade, log, pause, isolate or terminate the affected component — and reports summarized health/impact to the Core. Failure in one peer should not unnecessarily collapse unrelated domains.</w:t>
      </w:r>
    </w:p>
    <w:p>
      <w:r>
        <w:t>The Core should receive semantic status such as “ENTRY DOMAIN DEGRADED — new option entries suspended; existing positions unaffected,” not raw low-level exceptions as its primary operating information.</w:t>
      </w:r>
    </w:p>
    <w:p>
      <w:r>
        <w:t>A failed subsystem must never silently increase authority: Agent unavailable ≠ APPROVE; RM unavailable ≠ PASS; market feed stale ≠ unchanged price; missing broker acknowledgement ≠ order failed and safe to retry.</w:t>
      </w:r>
    </w:p>
    <w:p>
      <w:pPr>
        <w:pStyle w:val="Heading1"/>
      </w:pPr>
      <w:r>
        <w:t>19. Degraded Capability Principles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center"/>
            <w:tcMar>
              <w:top w:w="80" w:type="dxa"/>
              <w:start w:w="100" w:type="dxa"/>
              <w:bottom w:w="80" w:type="dxa"/>
              <w:end w:w="100" w:type="dxa"/>
            </w:tcMar>
          </w:tcPr>
          <w:p>
            <w:r>
              <w:rPr>
                <w:b/>
              </w:rPr>
              <w:t>Failure</w:t>
            </w:r>
          </w:p>
        </w:tc>
        <w:tc>
          <w:tcPr>
            <w:tcW w:type="dxa" w:w="4997"/>
            <w:shd w:fill="D9EAF7"/>
            <w:vAlign w:val="center"/>
            <w:tcMar>
              <w:top w:w="80" w:type="dxa"/>
              <w:start w:w="100" w:type="dxa"/>
              <w:bottom w:w="80" w:type="dxa"/>
              <w:end w:w="100" w:type="dxa"/>
            </w:tcMar>
          </w:tcPr>
          <w:p>
            <w:r>
              <w:rPr>
                <w:b/>
              </w:rPr>
              <w:t>Expected high-level behavior</w:t>
            </w:r>
          </w:p>
        </w:tc>
      </w:tr>
      <w:tr>
        <w:trPr>
          <w:cantSplit/>
        </w:trPr>
        <w:tc>
          <w:tcPr>
            <w:tcW w:type="dxa" w:w="4997"/>
            <w:vAlign w:val="top"/>
            <w:tcMar>
              <w:top w:w="80" w:type="dxa"/>
              <w:start w:w="100" w:type="dxa"/>
              <w:bottom w:w="80" w:type="dxa"/>
              <w:end w:w="100" w:type="dxa"/>
            </w:tcMar>
          </w:tcPr>
          <w:p>
            <w:r>
              <w:t>Market data unreliable</w:t>
            </w:r>
          </w:p>
        </w:tc>
        <w:tc>
          <w:tcPr>
            <w:tcW w:type="dxa" w:w="4997"/>
            <w:vAlign w:val="top"/>
            <w:tcMar>
              <w:top w:w="80" w:type="dxa"/>
              <w:start w:w="100" w:type="dxa"/>
              <w:bottom w:w="80" w:type="dxa"/>
              <w:end w:w="100" w:type="dxa"/>
            </w:tcMar>
          </w:tcPr>
          <w:p>
            <w:r>
              <w:t>Block/wait on new price-dependent exposure and revalidate when current data returns.</w:t>
            </w:r>
          </w:p>
        </w:tc>
      </w:tr>
      <w:tr>
        <w:trPr>
          <w:cantSplit/>
        </w:trPr>
        <w:tc>
          <w:tcPr>
            <w:tcW w:type="dxa" w:w="4997"/>
            <w:vAlign w:val="top"/>
            <w:tcMar>
              <w:top w:w="80" w:type="dxa"/>
              <w:start w:w="100" w:type="dxa"/>
              <w:bottom w:w="80" w:type="dxa"/>
              <w:end w:w="100" w:type="dxa"/>
            </w:tcMar>
          </w:tcPr>
          <w:p>
            <w:r>
              <w:t>Broker truth unavailable</w:t>
            </w:r>
          </w:p>
        </w:tc>
        <w:tc>
          <w:tcPr>
            <w:tcW w:type="dxa" w:w="4997"/>
            <w:vAlign w:val="top"/>
            <w:tcMar>
              <w:top w:w="80" w:type="dxa"/>
              <w:start w:w="100" w:type="dxa"/>
              <w:bottom w:w="80" w:type="dxa"/>
              <w:end w:w="100" w:type="dxa"/>
            </w:tcMar>
          </w:tcPr>
          <w:p>
            <w:r>
              <w:t>Block new execution; uncertain orders are reconciled before retry; never guess whether a broker action failed.</w:t>
            </w:r>
          </w:p>
        </w:tc>
      </w:tr>
      <w:tr>
        <w:trPr>
          <w:cantSplit/>
        </w:trPr>
        <w:tc>
          <w:tcPr>
            <w:tcW w:type="dxa" w:w="4997"/>
            <w:vAlign w:val="top"/>
            <w:tcMar>
              <w:top w:w="80" w:type="dxa"/>
              <w:start w:w="100" w:type="dxa"/>
              <w:bottom w:w="80" w:type="dxa"/>
              <w:end w:w="100" w:type="dxa"/>
            </w:tcMar>
          </w:tcPr>
          <w:p>
            <w:r>
              <w:t>Agents unavailable</w:t>
            </w:r>
          </w:p>
        </w:tc>
        <w:tc>
          <w:tcPr>
            <w:tcW w:type="dxa" w:w="4997"/>
            <w:vAlign w:val="top"/>
            <w:tcMar>
              <w:top w:w="80" w:type="dxa"/>
              <w:start w:w="100" w:type="dxa"/>
              <w:bottom w:w="80" w:type="dxa"/>
              <w:end w:w="100" w:type="dxa"/>
            </w:tcMar>
          </w:tcPr>
          <w:p>
            <w:r>
              <w:t>Entry/strategic decisions requiring Agent review escalate to User or wait; hard RM actions continue.</w:t>
            </w:r>
          </w:p>
        </w:tc>
      </w:tr>
      <w:tr>
        <w:trPr>
          <w:cantSplit/>
        </w:trPr>
        <w:tc>
          <w:tcPr>
            <w:tcW w:type="dxa" w:w="4997"/>
            <w:vAlign w:val="top"/>
            <w:tcMar>
              <w:top w:w="80" w:type="dxa"/>
              <w:start w:w="100" w:type="dxa"/>
              <w:bottom w:w="80" w:type="dxa"/>
              <w:end w:w="100" w:type="dxa"/>
            </w:tcMar>
          </w:tcPr>
          <w:p>
            <w:r>
              <w:t>Sheet/CGPT unavailable</w:t>
            </w:r>
          </w:p>
        </w:tc>
        <w:tc>
          <w:tcPr>
            <w:tcW w:type="dxa" w:w="4997"/>
            <w:vAlign w:val="top"/>
            <w:tcMar>
              <w:top w:w="80" w:type="dxa"/>
              <w:start w:w="100" w:type="dxa"/>
              <w:bottom w:w="80" w:type="dxa"/>
              <w:end w:w="100" w:type="dxa"/>
            </w:tcMar>
          </w:tcPr>
          <w:p>
            <w:r>
              <w:t>No new updates from that source; existing accepted TM state/position management continues.</w:t>
            </w:r>
          </w:p>
        </w:tc>
      </w:tr>
      <w:tr>
        <w:trPr>
          <w:cantSplit/>
        </w:trPr>
        <w:tc>
          <w:tcPr>
            <w:tcW w:type="dxa" w:w="4997"/>
            <w:vAlign w:val="top"/>
            <w:tcMar>
              <w:top w:w="80" w:type="dxa"/>
              <w:start w:w="100" w:type="dxa"/>
              <w:bottom w:w="80" w:type="dxa"/>
              <w:end w:w="100" w:type="dxa"/>
            </w:tcMar>
          </w:tcPr>
          <w:p>
            <w:r>
              <w:t>Risk Manager cannot establish safety</w:t>
            </w:r>
          </w:p>
        </w:tc>
        <w:tc>
          <w:tcPr>
            <w:tcW w:type="dxa" w:w="4997"/>
            <w:vAlign w:val="top"/>
            <w:tcMar>
              <w:top w:w="80" w:type="dxa"/>
              <w:start w:w="100" w:type="dxa"/>
              <w:bottom w:w="80" w:type="dxa"/>
              <w:end w:w="100" w:type="dxa"/>
            </w:tcMar>
          </w:tcPr>
          <w:p>
            <w:r>
              <w:t>New risk is blocked; inability to prove safety is not PASS.</w:t>
            </w:r>
          </w:p>
        </w:tc>
      </w:tr>
      <w:tr>
        <w:trPr>
          <w:cantSplit/>
        </w:trPr>
        <w:tc>
          <w:tcPr>
            <w:tcW w:type="dxa" w:w="4997"/>
            <w:vAlign w:val="top"/>
            <w:tcMar>
              <w:top w:w="80" w:type="dxa"/>
              <w:start w:w="100" w:type="dxa"/>
              <w:bottom w:w="80" w:type="dxa"/>
              <w:end w:w="100" w:type="dxa"/>
            </w:tcMar>
          </w:tcPr>
          <w:p>
            <w:r>
              <w:t>One horizontal domain fails</w:t>
            </w:r>
          </w:p>
        </w:tc>
        <w:tc>
          <w:tcPr>
            <w:tcW w:type="dxa" w:w="4997"/>
            <w:vAlign w:val="top"/>
            <w:tcMar>
              <w:top w:w="80" w:type="dxa"/>
              <w:start w:w="100" w:type="dxa"/>
              <w:bottom w:w="80" w:type="dxa"/>
              <w:end w:w="100" w:type="dxa"/>
            </w:tcMar>
          </w:tcPr>
          <w:p>
            <w:r>
              <w:t>Contain/degrade that capability; unrelated domains continue where safe.</w:t>
            </w:r>
          </w:p>
        </w:tc>
      </w:tr>
    </w:tbl>
    <w:p/>
    <w:p>
      <w:pPr>
        <w:pStyle w:val="Heading1"/>
      </w:pPr>
      <w:r>
        <w:t>20. Logging, Provenance and Auditability</w:t>
      </w:r>
    </w:p>
    <w:p>
      <w:r>
        <w:t>TradeMonitor should preserve enough history to answer: what happened, when, based on which facts, under which risk configuration, who/what initiated it, what Agents advised, what the User decided, what was sent to M, and what the broker actually did.</w:t>
      </w:r>
    </w:p>
    <w:p>
      <w:r>
        <w:t>Logging is not a substitute for state, and state is not a substitute for history. Current objects represent current operating reality; durable events/history explain how that reality was reached. RM blocks, adoption, user disagreement resolution, Agent verdicts/suggestions, execution anomalies and broker reconciliation changes are especially important audit events.</w:t>
      </w:r>
    </w:p>
    <w:p>
      <w:pPr>
        <w:pStyle w:val="Heading1"/>
      </w:pPr>
      <w:r>
        <w:t>21. Responsibilities and Boundaries Matrix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center"/>
            <w:tcMar>
              <w:top w:w="80" w:type="dxa"/>
              <w:start w:w="100" w:type="dxa"/>
              <w:bottom w:w="80" w:type="dxa"/>
              <w:end w:w="100" w:type="dxa"/>
            </w:tcMar>
          </w:tcPr>
          <w:p>
            <w:r>
              <w:rPr>
                <w:b/>
              </w:rPr>
              <w:t>Question</w:t>
            </w:r>
          </w:p>
        </w:tc>
        <w:tc>
          <w:tcPr>
            <w:tcW w:type="dxa" w:w="3331"/>
            <w:shd w:fill="D9EAF7"/>
            <w:vAlign w:val="center"/>
            <w:tcMar>
              <w:top w:w="80" w:type="dxa"/>
              <w:start w:w="100" w:type="dxa"/>
              <w:bottom w:w="80" w:type="dxa"/>
              <w:end w:w="100" w:type="dxa"/>
            </w:tcMar>
          </w:tcPr>
          <w:p>
            <w:r>
              <w:rPr>
                <w:b/>
              </w:rPr>
              <w:t>Primary owner</w:t>
            </w:r>
          </w:p>
        </w:tc>
        <w:tc>
          <w:tcPr>
            <w:tcW w:type="dxa" w:w="3331"/>
            <w:shd w:fill="D9EAF7"/>
            <w:vAlign w:val="center"/>
            <w:tcMar>
              <w:top w:w="80" w:type="dxa"/>
              <w:start w:w="100" w:type="dxa"/>
              <w:bottom w:w="80" w:type="dxa"/>
              <w:end w:w="100" w:type="dxa"/>
            </w:tcMar>
          </w:tcPr>
          <w:p>
            <w:r>
              <w:rPr>
                <w:b/>
              </w:rPr>
              <w:t>Boundary</w:t>
            </w:r>
          </w:p>
        </w:tc>
      </w:tr>
      <w:tr>
        <w:trPr>
          <w:cantSplit/>
        </w:trPr>
        <w:tc>
          <w:tcPr>
            <w:tcW w:type="dxa" w:w="3331"/>
            <w:vAlign w:val="top"/>
            <w:tcMar>
              <w:top w:w="80" w:type="dxa"/>
              <w:start w:w="100" w:type="dxa"/>
              <w:bottom w:w="80" w:type="dxa"/>
              <w:end w:w="100" w:type="dxa"/>
            </w:tcMar>
          </w:tcPr>
          <w:p>
            <w:r>
              <w:t>What information just arrived?</w:t>
            </w:r>
          </w:p>
        </w:tc>
        <w:tc>
          <w:tcPr>
            <w:tcW w:type="dxa" w:w="3331"/>
            <w:vAlign w:val="top"/>
            <w:tcMar>
              <w:top w:w="80" w:type="dxa"/>
              <w:start w:w="100" w:type="dxa"/>
              <w:bottom w:w="80" w:type="dxa"/>
              <w:end w:w="100" w:type="dxa"/>
            </w:tcMar>
          </w:tcPr>
          <w:p>
            <w:r>
              <w:t>Intake</w:t>
            </w:r>
          </w:p>
        </w:tc>
        <w:tc>
          <w:tcPr>
            <w:tcW w:type="dxa" w:w="3331"/>
            <w:vAlign w:val="top"/>
            <w:tcMar>
              <w:top w:w="80" w:type="dxa"/>
              <w:start w:w="100" w:type="dxa"/>
              <w:bottom w:w="80" w:type="dxa"/>
              <w:end w:w="100" w:type="dxa"/>
            </w:tcMar>
          </w:tcPr>
          <w:p>
            <w:r>
              <w:t>Retain source identity/provenance.</w:t>
            </w:r>
          </w:p>
        </w:tc>
      </w:tr>
      <w:tr>
        <w:trPr>
          <w:cantSplit/>
        </w:trPr>
        <w:tc>
          <w:tcPr>
            <w:tcW w:type="dxa" w:w="3331"/>
            <w:vAlign w:val="top"/>
            <w:tcMar>
              <w:top w:w="80" w:type="dxa"/>
              <w:start w:w="100" w:type="dxa"/>
              <w:bottom w:w="80" w:type="dxa"/>
              <w:end w:w="100" w:type="dxa"/>
            </w:tcMar>
          </w:tcPr>
          <w:p>
            <w:r>
              <w:t>Is this the same opportunity/episode?</w:t>
            </w:r>
          </w:p>
        </w:tc>
        <w:tc>
          <w:tcPr>
            <w:tcW w:type="dxa" w:w="3331"/>
            <w:vAlign w:val="top"/>
            <w:tcMar>
              <w:top w:w="80" w:type="dxa"/>
              <w:start w:w="100" w:type="dxa"/>
              <w:bottom w:w="80" w:type="dxa"/>
              <w:end w:w="100" w:type="dxa"/>
            </w:tcMar>
          </w:tcPr>
          <w:p>
            <w:r>
              <w:t>Intake</w:t>
            </w:r>
          </w:p>
        </w:tc>
        <w:tc>
          <w:tcPr>
            <w:tcW w:type="dxa" w:w="3331"/>
            <w:vAlign w:val="top"/>
            <w:tcMar>
              <w:top w:w="80" w:type="dxa"/>
              <w:start w:w="100" w:type="dxa"/>
              <w:bottom w:w="80" w:type="dxa"/>
              <w:end w:w="100" w:type="dxa"/>
            </w:tcMar>
          </w:tcPr>
          <w:p>
            <w:r>
              <w:t>Deterministic first; Agents only for high ambiguity.</w:t>
            </w:r>
          </w:p>
        </w:tc>
      </w:tr>
      <w:tr>
        <w:trPr>
          <w:cantSplit/>
        </w:trPr>
        <w:tc>
          <w:tcPr>
            <w:tcW w:type="dxa" w:w="3331"/>
            <w:vAlign w:val="top"/>
            <w:tcMar>
              <w:top w:w="80" w:type="dxa"/>
              <w:start w:w="100" w:type="dxa"/>
              <w:bottom w:w="80" w:type="dxa"/>
              <w:end w:w="100" w:type="dxa"/>
            </w:tcMar>
          </w:tcPr>
          <w:p>
            <w:r>
              <w:t>Is an entry setup valid/actionable?</w:t>
            </w:r>
          </w:p>
        </w:tc>
        <w:tc>
          <w:tcPr>
            <w:tcW w:type="dxa" w:w="3331"/>
            <w:vAlign w:val="top"/>
            <w:tcMar>
              <w:top w:w="80" w:type="dxa"/>
              <w:start w:w="100" w:type="dxa"/>
              <w:bottom w:w="80" w:type="dxa"/>
              <w:end w:w="100" w:type="dxa"/>
            </w:tcMar>
          </w:tcPr>
          <w:p>
            <w:r>
              <w:t>Entry</w:t>
            </w:r>
          </w:p>
        </w:tc>
        <w:tc>
          <w:tcPr>
            <w:tcW w:type="dxa" w:w="3331"/>
            <w:vAlign w:val="top"/>
            <w:tcMar>
              <w:top w:w="80" w:type="dxa"/>
              <w:start w:w="100" w:type="dxa"/>
              <w:bottom w:w="80" w:type="dxa"/>
              <w:end w:w="100" w:type="dxa"/>
            </w:tcMar>
          </w:tcPr>
          <w:p>
            <w:r>
              <w:t>Prepare trade; do not deploy broker execution.</w:t>
            </w:r>
          </w:p>
        </w:tc>
      </w:tr>
      <w:tr>
        <w:trPr>
          <w:cantSplit/>
        </w:trPr>
        <w:tc>
          <w:tcPr>
            <w:tcW w:type="dxa" w:w="3331"/>
            <w:vAlign w:val="top"/>
            <w:tcMar>
              <w:top w:w="80" w:type="dxa"/>
              <w:start w:w="100" w:type="dxa"/>
              <w:bottom w:w="80" w:type="dxa"/>
              <w:end w:w="100" w:type="dxa"/>
            </w:tcMar>
          </w:tcPr>
          <w:p>
            <w:r>
              <w:t>Is exposure permitted?</w:t>
            </w:r>
          </w:p>
        </w:tc>
        <w:tc>
          <w:tcPr>
            <w:tcW w:type="dxa" w:w="3331"/>
            <w:vAlign w:val="top"/>
            <w:tcMar>
              <w:top w:w="80" w:type="dxa"/>
              <w:start w:w="100" w:type="dxa"/>
              <w:bottom w:w="80" w:type="dxa"/>
              <w:end w:w="100" w:type="dxa"/>
            </w:tcMar>
          </w:tcPr>
          <w:p>
            <w:r>
              <w:t>Risk Management</w:t>
            </w:r>
          </w:p>
        </w:tc>
        <w:tc>
          <w:tcPr>
            <w:tcW w:type="dxa" w:w="3331"/>
            <w:vAlign w:val="top"/>
            <w:tcMar>
              <w:top w:w="80" w:type="dxa"/>
              <w:start w:w="100" w:type="dxa"/>
              <w:bottom w:w="80" w:type="dxa"/>
              <w:end w:w="100" w:type="dxa"/>
            </w:tcMar>
          </w:tcPr>
          <w:p>
            <w:r>
              <w:t>Highest runtime authority.</w:t>
            </w:r>
          </w:p>
        </w:tc>
      </w:tr>
      <w:tr>
        <w:trPr>
          <w:cantSplit/>
        </w:trPr>
        <w:tc>
          <w:tcPr>
            <w:tcW w:type="dxa" w:w="3331"/>
            <w:vAlign w:val="top"/>
            <w:tcMar>
              <w:top w:w="80" w:type="dxa"/>
              <w:start w:w="100" w:type="dxa"/>
              <w:bottom w:w="80" w:type="dxa"/>
              <w:end w:w="100" w:type="dxa"/>
            </w:tcMar>
          </w:tcPr>
          <w:p>
            <w:r>
              <w:t>Should Agent disagreement be overridden?</w:t>
            </w:r>
          </w:p>
        </w:tc>
        <w:tc>
          <w:tcPr>
            <w:tcW w:type="dxa" w:w="3331"/>
            <w:vAlign w:val="top"/>
            <w:tcMar>
              <w:top w:w="80" w:type="dxa"/>
              <w:start w:w="100" w:type="dxa"/>
              <w:bottom w:w="80" w:type="dxa"/>
              <w:end w:w="100" w:type="dxa"/>
            </w:tcMar>
          </w:tcPr>
          <w:p>
            <w:r>
              <w:t>User</w:t>
            </w:r>
          </w:p>
        </w:tc>
        <w:tc>
          <w:tcPr>
            <w:tcW w:type="dxa" w:w="3331"/>
            <w:vAlign w:val="top"/>
            <w:tcMar>
              <w:top w:w="80" w:type="dxa"/>
              <w:start w:w="100" w:type="dxa"/>
              <w:bottom w:w="80" w:type="dxa"/>
              <w:end w:w="100" w:type="dxa"/>
            </w:tcMar>
          </w:tcPr>
          <w:p>
            <w:r>
              <w:t>Still subject to RM.</w:t>
            </w:r>
          </w:p>
        </w:tc>
      </w:tr>
      <w:tr>
        <w:trPr>
          <w:cantSplit/>
        </w:trPr>
        <w:tc>
          <w:tcPr>
            <w:tcW w:type="dxa" w:w="3331"/>
            <w:vAlign w:val="top"/>
            <w:tcMar>
              <w:top w:w="80" w:type="dxa"/>
              <w:start w:w="100" w:type="dxa"/>
              <w:bottom w:w="80" w:type="dxa"/>
              <w:end w:w="100" w:type="dxa"/>
            </w:tcMar>
          </w:tcPr>
          <w:p>
            <w:r>
              <w:t>Should a MANAGED position continue/exit?</w:t>
            </w:r>
          </w:p>
        </w:tc>
        <w:tc>
          <w:tcPr>
            <w:tcW w:type="dxa" w:w="3331"/>
            <w:vAlign w:val="top"/>
            <w:tcMar>
              <w:top w:w="80" w:type="dxa"/>
              <w:start w:w="100" w:type="dxa"/>
              <w:bottom w:w="80" w:type="dxa"/>
              <w:end w:w="100" w:type="dxa"/>
            </w:tcMar>
          </w:tcPr>
          <w:p>
            <w:r>
              <w:t>Position/Exit</w:t>
            </w:r>
          </w:p>
        </w:tc>
        <w:tc>
          <w:tcPr>
            <w:tcW w:type="dxa" w:w="3331"/>
            <w:vAlign w:val="top"/>
            <w:tcMar>
              <w:top w:w="80" w:type="dxa"/>
              <w:start w:w="100" w:type="dxa"/>
              <w:bottom w:w="80" w:type="dxa"/>
              <w:end w:w="100" w:type="dxa"/>
            </w:tcMar>
          </w:tcPr>
          <w:p>
            <w:r>
              <w:t>UNMANAGED positions are outside operational authority.</w:t>
            </w:r>
          </w:p>
        </w:tc>
      </w:tr>
      <w:tr>
        <w:trPr>
          <w:cantSplit/>
        </w:trPr>
        <w:tc>
          <w:tcPr>
            <w:tcW w:type="dxa" w:w="3331"/>
            <w:vAlign w:val="top"/>
            <w:tcMar>
              <w:top w:w="80" w:type="dxa"/>
              <w:start w:w="100" w:type="dxa"/>
              <w:bottom w:w="80" w:type="dxa"/>
              <w:end w:w="100" w:type="dxa"/>
            </w:tcMar>
          </w:tcPr>
          <w:p>
            <w:r>
              <w:t>How is ambiguity independently analyzed?</w:t>
            </w:r>
          </w:p>
        </w:tc>
        <w:tc>
          <w:tcPr>
            <w:tcW w:type="dxa" w:w="3331"/>
            <w:vAlign w:val="top"/>
            <w:tcMar>
              <w:top w:w="80" w:type="dxa"/>
              <w:start w:w="100" w:type="dxa"/>
              <w:bottom w:w="80" w:type="dxa"/>
              <w:end w:w="100" w:type="dxa"/>
            </w:tcMar>
          </w:tcPr>
          <w:p>
            <w:r>
              <w:t>External Agents service</w:t>
            </w:r>
          </w:p>
        </w:tc>
        <w:tc>
          <w:tcPr>
            <w:tcW w:type="dxa" w:w="3331"/>
            <w:vAlign w:val="top"/>
            <w:tcMar>
              <w:top w:w="80" w:type="dxa"/>
              <w:start w:w="100" w:type="dxa"/>
              <w:bottom w:w="80" w:type="dxa"/>
              <w:end w:w="100" w:type="dxa"/>
            </w:tcMar>
          </w:tcPr>
          <w:p>
            <w:r>
              <w:t>Advice only; calling domain retains ownership.</w:t>
            </w:r>
          </w:p>
        </w:tc>
      </w:tr>
      <w:tr>
        <w:trPr>
          <w:cantSplit/>
        </w:trPr>
        <w:tc>
          <w:tcPr>
            <w:tcW w:type="dxa" w:w="3331"/>
            <w:vAlign w:val="top"/>
            <w:tcMar>
              <w:top w:w="80" w:type="dxa"/>
              <w:start w:w="100" w:type="dxa"/>
              <w:bottom w:w="80" w:type="dxa"/>
              <w:end w:w="100" w:type="dxa"/>
            </w:tcMar>
          </w:tcPr>
          <w:p>
            <w:r>
              <w:t>How is an authorized operation sent?</w:t>
            </w:r>
          </w:p>
        </w:tc>
        <w:tc>
          <w:tcPr>
            <w:tcW w:type="dxa" w:w="3331"/>
            <w:vAlign w:val="top"/>
            <w:tcMar>
              <w:top w:w="80" w:type="dxa"/>
              <w:start w:w="100" w:type="dxa"/>
              <w:bottom w:w="80" w:type="dxa"/>
              <w:end w:w="100" w:type="dxa"/>
            </w:tcMar>
          </w:tcPr>
          <w:p>
            <w:r>
              <w:t>Module M</w:t>
            </w:r>
          </w:p>
        </w:tc>
        <w:tc>
          <w:tcPr>
            <w:tcW w:type="dxa" w:w="3331"/>
            <w:vAlign w:val="top"/>
            <w:tcMar>
              <w:top w:w="80" w:type="dxa"/>
              <w:start w:w="100" w:type="dxa"/>
              <w:bottom w:w="80" w:type="dxa"/>
              <w:end w:w="100" w:type="dxa"/>
            </w:tcMar>
          </w:tcPr>
          <w:p>
            <w:r>
              <w:t>No trading intelligence.</w:t>
            </w:r>
          </w:p>
        </w:tc>
      </w:tr>
      <w:tr>
        <w:trPr>
          <w:cantSplit/>
        </w:trPr>
        <w:tc>
          <w:tcPr>
            <w:tcW w:type="dxa" w:w="3331"/>
            <w:vAlign w:val="top"/>
            <w:tcMar>
              <w:top w:w="80" w:type="dxa"/>
              <w:start w:w="100" w:type="dxa"/>
              <w:bottom w:w="80" w:type="dxa"/>
              <w:end w:w="100" w:type="dxa"/>
            </w:tcMar>
          </w:tcPr>
          <w:p>
            <w:r>
              <w:t>What actually happened at broker?</w:t>
            </w:r>
          </w:p>
        </w:tc>
        <w:tc>
          <w:tcPr>
            <w:tcW w:type="dxa" w:w="3331"/>
            <w:vAlign w:val="top"/>
            <w:tcMar>
              <w:top w:w="80" w:type="dxa"/>
              <w:start w:w="100" w:type="dxa"/>
              <w:bottom w:w="80" w:type="dxa"/>
              <w:end w:w="100" w:type="dxa"/>
            </w:tcMar>
          </w:tcPr>
          <w:p>
            <w:r>
              <w:t>Broker truth</w:t>
            </w:r>
          </w:p>
        </w:tc>
        <w:tc>
          <w:tcPr>
            <w:tcW w:type="dxa" w:w="3331"/>
            <w:vAlign w:val="top"/>
            <w:tcMar>
              <w:top w:w="80" w:type="dxa"/>
              <w:start w:w="100" w:type="dxa"/>
              <w:bottom w:w="80" w:type="dxa"/>
              <w:end w:w="100" w:type="dxa"/>
            </w:tcMar>
          </w:tcPr>
          <w:p>
            <w:r>
              <w:t>TM reconciles to it.</w:t>
            </w:r>
          </w:p>
        </w:tc>
      </w:tr>
      <w:tr>
        <w:trPr>
          <w:cantSplit/>
        </w:trPr>
        <w:tc>
          <w:tcPr>
            <w:tcW w:type="dxa" w:w="3331"/>
            <w:vAlign w:val="top"/>
            <w:tcMar>
              <w:top w:w="80" w:type="dxa"/>
              <w:start w:w="100" w:type="dxa"/>
              <w:bottom w:w="80" w:type="dxa"/>
              <w:end w:w="100" w:type="dxa"/>
            </w:tcMar>
          </w:tcPr>
          <w:p>
            <w:r>
              <w:t>How are contexts synchronized?</w:t>
            </w:r>
          </w:p>
        </w:tc>
        <w:tc>
          <w:tcPr>
            <w:tcW w:type="dxa" w:w="3331"/>
            <w:vAlign w:val="top"/>
            <w:tcMar>
              <w:top w:w="80" w:type="dxa"/>
              <w:start w:w="100" w:type="dxa"/>
              <w:bottom w:w="80" w:type="dxa"/>
              <w:end w:w="100" w:type="dxa"/>
            </w:tcMar>
          </w:tcPr>
          <w:p>
            <w:r>
              <w:t>Core TM Manager</w:t>
            </w:r>
          </w:p>
        </w:tc>
        <w:tc>
          <w:tcPr>
            <w:tcW w:type="dxa" w:w="3331"/>
            <w:vAlign w:val="top"/>
            <w:tcMar>
              <w:top w:w="80" w:type="dxa"/>
              <w:start w:w="100" w:type="dxa"/>
              <w:bottom w:w="80" w:type="dxa"/>
              <w:end w:w="100" w:type="dxa"/>
            </w:tcMar>
          </w:tcPr>
          <w:p>
            <w:r>
              <w:t>Coordination, not domain expertise.</w:t>
            </w:r>
          </w:p>
        </w:tc>
      </w:tr>
    </w:tbl>
    <w:p/>
    <w:p>
      <w:pPr>
        <w:pStyle w:val="Heading1"/>
      </w:pPr>
      <w:r>
        <w:t>22. Safety and Architectural Invariants</w:t>
      </w:r>
    </w:p>
    <w:p>
      <w:pPr>
        <w:ind w:left="0" w:firstLine="0"/>
      </w:pPr>
      <w:r>
        <w:t>1.  Broker reality is final factual truth for broker orders, fills and positions.</w:t>
      </w:r>
    </w:p>
    <w:p>
      <w:pPr>
        <w:ind w:left="0" w:firstLine="0"/>
      </w:pPr>
      <w:r>
        <w:t>2.  Nothing creating risk reaches Module M without current Risk Management permission.</w:t>
      </w:r>
    </w:p>
    <w:p>
      <w:pPr>
        <w:ind w:left="0" w:firstLine="0"/>
      </w:pPr>
      <w:r>
        <w:t>3.  Risk Management cannot be bypassed from normal trading commands; changes require deliberate Setup/Admin workflow.</w:t>
      </w:r>
    </w:p>
    <w:p>
      <w:pPr>
        <w:ind w:left="0" w:firstLine="0"/>
      </w:pPr>
      <w:r>
        <w:t>4.  Every Risk Management block is logged.</w:t>
      </w:r>
    </w:p>
    <w:p>
      <w:pPr>
        <w:ind w:left="0" w:firstLine="0"/>
      </w:pPr>
      <w:r>
        <w:t>5.  UNMANAGED broker positions are read-only to all TM operational components until explicitly adopted.</w:t>
      </w:r>
    </w:p>
    <w:p>
      <w:pPr>
        <w:ind w:left="0" w:firstLine="0"/>
      </w:pPr>
      <w:r>
        <w:t>6.  Adoption is explicit; after adoption, the position becomes MANAGED and uses normal management machinery.</w:t>
      </w:r>
    </w:p>
    <w:p>
      <w:pPr>
        <w:ind w:left="0" w:firstLine="0"/>
      </w:pPr>
      <w:r>
        <w:t>7.  Repeated or multi-source rediscovery of the same outcome never means automatic scale-in; adding exposure requires an explicit decision.</w:t>
      </w:r>
    </w:p>
    <w:p>
      <w:pPr>
        <w:ind w:left="0" w:firstLine="0"/>
      </w:pPr>
      <w:r>
        <w:t>8.  Agents never execute, manage broker state or directly mutate TM state; they return advice to the calling domain.</w:t>
      </w:r>
    </w:p>
    <w:p>
      <w:pPr>
        <w:ind w:left="0" w:firstLine="0"/>
      </w:pPr>
      <w:r>
        <w:t>9.  For configured Agent validation, the primary verdict is exactly APPROVE, REJECT or RETREAT_WAIT; suggestion is extra.</w:t>
      </w:r>
    </w:p>
    <w:p>
      <w:pPr>
        <w:ind w:left="0" w:firstLine="0"/>
      </w:pPr>
      <w:r>
        <w:t>10.  Agent REJECT/RETREAT_WAIT on ordinary discretionary decisions escalates to User; User decisions remain subject to RM.</w:t>
      </w:r>
    </w:p>
    <w:p>
      <w:pPr>
        <w:ind w:left="0" w:firstLine="0"/>
      </w:pPr>
      <w:r>
        <w:t>11.  Hard RM actions do not wait for Agent/User disagreement resolution in the ordinary trade flow.</w:t>
      </w:r>
    </w:p>
    <w:p>
      <w:pPr>
        <w:ind w:left="0" w:firstLine="0"/>
      </w:pPr>
      <w:r>
        <w:t>12.  Module M receives authorized ExecutionRequests; it does not decide trade quality.</w:t>
      </w:r>
    </w:p>
    <w:p>
      <w:pPr>
        <w:ind w:left="0" w:firstLine="0"/>
      </w:pPr>
      <w:r>
        <w:t>13.  Failure of a subsystem must not silently increase TM authority.</w:t>
      </w:r>
    </w:p>
    <w:p>
      <w:pPr>
        <w:ind w:left="0" w:firstLine="0"/>
      </w:pPr>
      <w:r>
        <w:t>14.  A missing broker acknowledgement is not proof of order failure; uncertain execution must reconcile before retry.</w:t>
      </w:r>
    </w:p>
    <w:p>
      <w:pPr>
        <w:ind w:left="0" w:firstLine="0"/>
      </w:pPr>
      <w:r>
        <w:t>15.  Shutdown is not liquidation.</w:t>
      </w:r>
    </w:p>
    <w:p>
      <w:pPr>
        <w:pStyle w:val="Heading1"/>
      </w:pPr>
      <w:r>
        <w:t>23. Intentionally Evolvable / Not Yet Frozen</w:t>
      </w:r>
    </w:p>
    <w:p>
      <w:r>
        <w:t>The architecture deliberately leaves several implementation/control details open because they are likely to evolve during replay, forward test and implementation learning. Leaving them open is intentional, not an omission.</w:t>
      </w:r>
    </w:p>
    <w:p>
      <w:pPr>
        <w:pStyle w:val="ListBullet"/>
      </w:pPr>
      <w:r>
        <w:t>Exact system-state vocabulary and semantics such as RUNNING / PAUSED / SAFE / EMERGENCY.</w:t>
      </w:r>
    </w:p>
    <w:p>
      <w:pPr>
        <w:pStyle w:val="ListBullet"/>
      </w:pPr>
      <w:r>
        <w:t>Exact freshness windows and market-displacement thresholds for stale decisions.</w:t>
      </w:r>
    </w:p>
    <w:p>
      <w:pPr>
        <w:pStyle w:val="ListBullet"/>
      </w:pPr>
      <w:r>
        <w:t>Agent timeout/retry policy and model/provider choices.</w:t>
      </w:r>
    </w:p>
    <w:p>
      <w:pPr>
        <w:pStyle w:val="ListBullet"/>
      </w:pPr>
      <w:r>
        <w:t>Detailed episode-relevance thresholds and deterministic vs Agent ambiguity boundary.</w:t>
      </w:r>
    </w:p>
    <w:p>
      <w:pPr>
        <w:pStyle w:val="ListBullet"/>
      </w:pPr>
      <w:r>
        <w:t>Exact console command syntax and visual layout.</w:t>
      </w:r>
    </w:p>
    <w:p>
      <w:pPr>
        <w:pStyle w:val="ListBullet"/>
      </w:pPr>
      <w:r>
        <w:t>Precise retry, concurrency, persistence, transaction and idempotency mechanisms.</w:t>
      </w:r>
    </w:p>
    <w:p>
      <w:pPr>
        <w:pStyle w:val="ListBullet"/>
      </w:pPr>
      <w:r>
        <w:t>Exact risk limits, trade-policy parameters and operational timings.</w:t>
      </w:r>
    </w:p>
    <w:p>
      <w:pPr>
        <w:pStyle w:val="ListBullet"/>
      </w:pPr>
      <w:r>
        <w:t>Commodity support and later CASH integration details.</w:t>
      </w:r>
    </w:p>
    <w:p>
      <w:r>
        <w:t>These items may evolve without disturbing the architecture as long as they respect the ownership, authority and boundary principles in this thesis.</w:t>
      </w:r>
    </w:p>
    <w:p>
      <w:pPr>
        <w:pStyle w:val="Heading1"/>
      </w:pPr>
      <w:r>
        <w:t>24. Implementation Guidance</w:t>
      </w:r>
    </w:p>
    <w:p>
      <w:r>
        <w:t>Implementation should proceed from the architecture rather than inventing semantics while coding. Internal schemas, event formats, locks, persistence transactions, queues, state-machine representation and retry mechanics are engineering choices that can be optimized without repeatedly involving product-level design, provided they preserve the baseline behavior.</w:t>
      </w:r>
    </w:p>
    <w:p>
      <w:r>
        <w:t>The implementation should prefer narrow interfaces and domain-owned logic. It should resist adding cross-domain shortcuts, direct state mutation, broker calls outside M, risk bypasses, hidden adoption, or embedded Agent logic. When an implementation convenience violates a boundary in this thesis, the convenience is wrong unless the architecture is deliberately revised.</w:t>
      </w:r>
    </w:p>
    <w:p>
      <w:pPr>
        <w:pStyle w:val="Heading1"/>
      </w:pPr>
      <w:r>
        <w:t>25. Reference Scenarios</w:t>
      </w:r>
    </w:p>
    <w:p>
      <w:r>
        <w:t>Scenario A — Normal entry</w:t>
      </w:r>
    </w:p>
    <w:p>
      <w:pPr>
        <w:pStyle w:val="TMCode"/>
        <w:keepLines/>
      </w:pPr>
      <w:r>
        <w:t>Scanner/User observation → Intake reconciles → active episode → Entry validates</w:t>
        <w:br/>
        <w:t>→ Agents APPROVE → RM PASS → authorized ExecutionRequest → M → Broker fill</w:t>
        <w:br/>
        <w:t>→ Position MANAGED → Position/Exit takes ownership</w:t>
      </w:r>
    </w:p>
    <w:p>
      <w:r>
        <w:t>Scenario B — Agent disagrees</w:t>
      </w:r>
    </w:p>
    <w:p>
      <w:pPr>
        <w:pStyle w:val="TMCode"/>
        <w:keepLines/>
      </w:pPr>
      <w:r>
        <w:t>Entry proposes Trade T → Agents REJECT → User chooses APPROVE</w:t>
        <w:br/>
        <w:t>→ RM PASS required → only then may ExecutionRequest reach M</w:t>
      </w:r>
    </w:p>
    <w:p>
      <w:r>
        <w:t>Scenario C — RM blocks</w:t>
      </w:r>
    </w:p>
    <w:p>
      <w:pPr>
        <w:pStyle w:val="TMCode"/>
        <w:keepLines/>
      </w:pPr>
      <w:r>
        <w:t>Entry + Agents + User support Trade T → RM BLOCK</w:t>
        <w:br/>
        <w:t>→ no ExecutionRequest → block logged</w:t>
        <w:br/>
        <w:t>→ only deliberate Admin risk-setting change can alter the governing rule</w:t>
      </w:r>
    </w:p>
    <w:p>
      <w:r>
        <w:t>Scenario D — External broker position</w:t>
      </w:r>
    </w:p>
    <w:p>
      <w:pPr>
        <w:pStyle w:val="TMCode"/>
        <w:keepLines/>
      </w:pPr>
      <w:r>
        <w:t>Broker reveals position → Position status UNMANAGED</w:t>
        <w:br/>
        <w:t>→ visible/reconciled/counts in RM</w:t>
        <w:br/>
        <w:t>→ no TM operations permitted</w:t>
        <w:br/>
        <w:t>→ User explicitly adopts → status MANAGED → normal management begins</w:t>
      </w:r>
    </w:p>
    <w:p>
      <w:r>
        <w:t>Scenario E — Duplicate/rediscovered opportunity</w:t>
      </w:r>
    </w:p>
    <w:p>
      <w:pPr>
        <w:pStyle w:val="TMCode"/>
        <w:keepLines/>
      </w:pPr>
      <w:r>
        <w:t>New src_id reports same broad outcome → Intake checks active episode/exposure</w:t>
        <w:br/>
        <w:t>→ existing position found → record/support context only</w:t>
        <w:br/>
        <w:t>→ never auto-add quantity</w:t>
        <w:br/>
        <w:t>→ explicit ADD decision required for scale-in</w:t>
      </w:r>
    </w:p>
    <w:p>
      <w:r>
        <w:t>Scenario F — Ambiguous intake</w:t>
      </w:r>
    </w:p>
    <w:p>
      <w:pPr>
        <w:pStyle w:val="TMCode"/>
        <w:keepLines/>
      </w:pPr>
      <w:r>
        <w:t>Same outcome appears later with changed strike/premium/time context</w:t>
        <w:br/>
        <w:t>→ deterministic equivalence uncertain</w:t>
        <w:br/>
        <w:t>→ Intake delegates bounded question to external Agents service</w:t>
        <w:br/>
        <w:t>→ Agents return advice</w:t>
        <w:br/>
        <w:t>→ Intake owns final reconciliation</w:t>
      </w:r>
    </w:p>
    <w:p>
      <w:r>
        <w:t>Scenario G — Partial system failure</w:t>
      </w:r>
    </w:p>
    <w:p>
      <w:pPr>
        <w:pStyle w:val="TMCode"/>
        <w:keepLines/>
      </w:pPr>
      <w:r>
        <w:t>Agents unavailable → Entry/strategic exit reviews requiring Agents escalate/wait</w:t>
        <w:br/>
        <w:t>→ RM/Position/Broker domains continue</w:t>
        <w:br/>
        <w:t>→ hard protective actions remain available where broker/market context is reliable</w:t>
      </w:r>
    </w:p>
    <w:p>
      <w:pPr>
        <w:pStyle w:val="Heading1"/>
      </w:pPr>
      <w:r>
        <w:t>26. Architecture Validation Checklist</w:t>
      </w:r>
    </w:p>
    <w:p>
      <w:r>
        <w:t>Whenever a new requirement or implementation proposal is introduced, it should be tested against these questions:</w:t>
      </w:r>
    </w:p>
    <w:p>
      <w:pPr>
        <w:ind w:left="0" w:firstLine="0"/>
      </w:pPr>
      <w:r>
        <w:t>1.  Which domain owns this behavior?</w:t>
      </w:r>
    </w:p>
    <w:p>
      <w:pPr>
        <w:ind w:left="0" w:firstLine="0"/>
      </w:pPr>
      <w:r>
        <w:t>2.  Is this factual truth, decision authority, deterministic policy, or advisory information?</w:t>
      </w:r>
    </w:p>
    <w:p>
      <w:pPr>
        <w:ind w:left="0" w:firstLine="0"/>
      </w:pPr>
      <w:r>
        <w:t>3.  Does it preserve Risk Management as the highest runtime authority?</w:t>
      </w:r>
    </w:p>
    <w:p>
      <w:pPr>
        <w:ind w:left="0" w:firstLine="0"/>
      </w:pPr>
      <w:r>
        <w:t>4.  Could it accidentally operate on an UNMANAGED position?</w:t>
      </w:r>
    </w:p>
    <w:p>
      <w:pPr>
        <w:ind w:left="0" w:firstLine="0"/>
      </w:pPr>
      <w:r>
        <w:t>5.  Could it create duplicate/new exposure without an explicit decision?</w:t>
      </w:r>
    </w:p>
    <w:p>
      <w:pPr>
        <w:ind w:left="0" w:firstLine="0"/>
      </w:pPr>
      <w:r>
        <w:t>6.  Does it bypass Module M for broker execution?</w:t>
      </w:r>
    </w:p>
    <w:p>
      <w:pPr>
        <w:ind w:left="0" w:firstLine="0"/>
      </w:pPr>
      <w:r>
        <w:t>7.  Does it couple Agents into TM internals rather than using a bounded service interface?</w:t>
      </w:r>
    </w:p>
    <w:p>
      <w:pPr>
        <w:ind w:left="0" w:firstLine="0"/>
      </w:pPr>
      <w:r>
        <w:t>8.  Can the responsible domain contain/recover from failure locally?</w:t>
      </w:r>
    </w:p>
    <w:p>
      <w:pPr>
        <w:ind w:left="0" w:firstLine="0"/>
      </w:pPr>
      <w:r>
        <w:t>9.  Does failure reduce or preserve authority rather than silently increase it?</w:t>
      </w:r>
    </w:p>
    <w:p>
      <w:pPr>
        <w:ind w:left="0" w:firstLine="0"/>
      </w:pPr>
      <w:r>
        <w:t>10.  Does it remain understandable from logs/provenance after the fact?</w:t>
      </w:r>
    </w:p>
    <w:p>
      <w:pPr>
        <w:ind w:left="0" w:firstLine="0"/>
      </w:pPr>
      <w:r>
        <w:t>11.  Does it keep the system simpler, loosely coupled, responsible and flexible?</w:t>
      </w:r>
    </w:p>
    <w:p>
      <w:pPr>
        <w:pStyle w:val="Heading1"/>
      </w:pPr>
      <w:r>
        <w:t>27. Glossary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center"/>
            <w:tcMar>
              <w:top w:w="80" w:type="dxa"/>
              <w:start w:w="100" w:type="dxa"/>
              <w:bottom w:w="80" w:type="dxa"/>
              <w:end w:w="100" w:type="dxa"/>
            </w:tcMar>
          </w:tcPr>
          <w:p>
            <w:r>
              <w:rPr>
                <w:b/>
              </w:rPr>
              <w:t>Term</w:t>
            </w:r>
          </w:p>
        </w:tc>
        <w:tc>
          <w:tcPr>
            <w:tcW w:type="dxa" w:w="4997"/>
            <w:shd w:fill="D9EAF7"/>
            <w:vAlign w:val="center"/>
            <w:tcMar>
              <w:top w:w="80" w:type="dxa"/>
              <w:start w:w="100" w:type="dxa"/>
              <w:bottom w:w="80" w:type="dxa"/>
              <w:end w:w="100" w:type="dxa"/>
            </w:tcMar>
          </w:tcPr>
          <w:p>
            <w:r>
              <w:rPr>
                <w:b/>
              </w:rPr>
              <w:t>Reference meaning</w:t>
            </w:r>
          </w:p>
        </w:tc>
      </w:tr>
      <w:tr>
        <w:trPr>
          <w:cantSplit/>
        </w:trPr>
        <w:tc>
          <w:tcPr>
            <w:tcW w:type="dxa" w:w="4997"/>
            <w:vAlign w:val="top"/>
            <w:tcMar>
              <w:top w:w="80" w:type="dxa"/>
              <w:start w:w="100" w:type="dxa"/>
              <w:bottom w:w="80" w:type="dxa"/>
              <w:end w:w="100" w:type="dxa"/>
            </w:tcMar>
          </w:tcPr>
          <w:p>
            <w:r>
              <w:t>Core TM Manager</w:t>
            </w:r>
          </w:p>
        </w:tc>
        <w:tc>
          <w:tcPr>
            <w:tcW w:type="dxa" w:w="4997"/>
            <w:vAlign w:val="top"/>
            <w:tcMar>
              <w:top w:w="80" w:type="dxa"/>
              <w:start w:w="100" w:type="dxa"/>
              <w:bottom w:w="80" w:type="dxa"/>
              <w:end w:w="100" w:type="dxa"/>
            </w:tcMar>
          </w:tcPr>
          <w:p>
            <w:r>
              <w:t>Small coordinator/supervisor that synchronizes contexts and routes work; not trading expert.</w:t>
            </w:r>
          </w:p>
        </w:tc>
      </w:tr>
      <w:tr>
        <w:trPr>
          <w:cantSplit/>
        </w:trPr>
        <w:tc>
          <w:tcPr>
            <w:tcW w:type="dxa" w:w="4997"/>
            <w:vAlign w:val="top"/>
            <w:tcMar>
              <w:top w:w="80" w:type="dxa"/>
              <w:start w:w="100" w:type="dxa"/>
              <w:bottom w:w="80" w:type="dxa"/>
              <w:end w:w="100" w:type="dxa"/>
            </w:tcMar>
          </w:tcPr>
          <w:p>
            <w:r>
              <w:t>Outcome / Opportunity</w:t>
            </w:r>
          </w:p>
        </w:tc>
        <w:tc>
          <w:tcPr>
            <w:tcW w:type="dxa" w:w="4997"/>
            <w:vAlign w:val="top"/>
            <w:tcMar>
              <w:top w:w="80" w:type="dxa"/>
              <w:start w:w="100" w:type="dxa"/>
              <w:bottom w:w="80" w:type="dxa"/>
              <w:end w:w="100" w:type="dxa"/>
            </w:tcMar>
          </w:tcPr>
          <w:p>
            <w:r>
              <w:t>Broad trading idea independent of one timestamp/contract manifestation.</w:t>
            </w:r>
          </w:p>
        </w:tc>
      </w:tr>
      <w:tr>
        <w:trPr>
          <w:cantSplit/>
        </w:trPr>
        <w:tc>
          <w:tcPr>
            <w:tcW w:type="dxa" w:w="4997"/>
            <w:vAlign w:val="top"/>
            <w:tcMar>
              <w:top w:w="80" w:type="dxa"/>
              <w:start w:w="100" w:type="dxa"/>
              <w:bottom w:w="80" w:type="dxa"/>
              <w:end w:w="100" w:type="dxa"/>
            </w:tcMar>
          </w:tcPr>
          <w:p>
            <w:r>
              <w:t>Episode</w:t>
            </w:r>
          </w:p>
        </w:tc>
        <w:tc>
          <w:tcPr>
            <w:tcW w:type="dxa" w:w="4997"/>
            <w:vAlign w:val="top"/>
            <w:tcMar>
              <w:top w:w="80" w:type="dxa"/>
              <w:start w:w="100" w:type="dxa"/>
              <w:bottom w:w="80" w:type="dxa"/>
              <w:end w:w="100" w:type="dxa"/>
            </w:tcMar>
          </w:tcPr>
          <w:p>
            <w:r>
              <w:t>Time-relevant manifestation of an outcome under current market context.</w:t>
            </w:r>
          </w:p>
        </w:tc>
      </w:tr>
      <w:tr>
        <w:trPr>
          <w:cantSplit/>
        </w:trPr>
        <w:tc>
          <w:tcPr>
            <w:tcW w:type="dxa" w:w="4997"/>
            <w:vAlign w:val="top"/>
            <w:tcMar>
              <w:top w:w="80" w:type="dxa"/>
              <w:start w:w="100" w:type="dxa"/>
              <w:bottom w:w="80" w:type="dxa"/>
              <w:end w:w="100" w:type="dxa"/>
            </w:tcMar>
          </w:tcPr>
          <w:p>
            <w:r>
              <w:t>Candidate</w:t>
            </w:r>
          </w:p>
        </w:tc>
        <w:tc>
          <w:tcPr>
            <w:tcW w:type="dxa" w:w="4997"/>
            <w:vAlign w:val="top"/>
            <w:tcMar>
              <w:top w:w="80" w:type="dxa"/>
              <w:start w:w="100" w:type="dxa"/>
              <w:bottom w:w="80" w:type="dxa"/>
              <w:end w:w="100" w:type="dxa"/>
            </w:tcMar>
          </w:tcPr>
          <w:p>
            <w:r>
              <w:t>Operational notion for an outcome/episode admitted to monitoring; avoid duplicating it as a heavy overlapping concept.</w:t>
            </w:r>
          </w:p>
        </w:tc>
      </w:tr>
      <w:tr>
        <w:trPr>
          <w:cantSplit/>
        </w:trPr>
        <w:tc>
          <w:tcPr>
            <w:tcW w:type="dxa" w:w="4997"/>
            <w:vAlign w:val="top"/>
            <w:tcMar>
              <w:top w:w="80" w:type="dxa"/>
              <w:start w:w="100" w:type="dxa"/>
              <w:bottom w:w="80" w:type="dxa"/>
              <w:end w:w="100" w:type="dxa"/>
            </w:tcMar>
          </w:tcPr>
          <w:p>
            <w:r>
              <w:t>Trade Plan / Trade T</w:t>
            </w:r>
          </w:p>
        </w:tc>
        <w:tc>
          <w:tcPr>
            <w:tcW w:type="dxa" w:w="4997"/>
            <w:vAlign w:val="top"/>
            <w:tcMar>
              <w:top w:w="80" w:type="dxa"/>
              <w:start w:w="100" w:type="dxa"/>
              <w:bottom w:w="80" w:type="dxa"/>
              <w:end w:w="100" w:type="dxa"/>
            </w:tcMar>
          </w:tcPr>
          <w:p>
            <w:r>
              <w:t>Prepared trade intent managed by the Entry domain before execution deployment.</w:t>
            </w:r>
          </w:p>
        </w:tc>
      </w:tr>
      <w:tr>
        <w:trPr>
          <w:cantSplit/>
        </w:trPr>
        <w:tc>
          <w:tcPr>
            <w:tcW w:type="dxa" w:w="4997"/>
            <w:vAlign w:val="top"/>
            <w:tcMar>
              <w:top w:w="80" w:type="dxa"/>
              <w:start w:w="100" w:type="dxa"/>
              <w:bottom w:w="80" w:type="dxa"/>
              <w:end w:w="100" w:type="dxa"/>
            </w:tcMar>
          </w:tcPr>
          <w:p>
            <w:r>
              <w:t>MANAGED</w:t>
            </w:r>
          </w:p>
        </w:tc>
        <w:tc>
          <w:tcPr>
            <w:tcW w:type="dxa" w:w="4997"/>
            <w:vAlign w:val="top"/>
            <w:tcMar>
              <w:top w:w="80" w:type="dxa"/>
              <w:start w:w="100" w:type="dxa"/>
              <w:bottom w:w="80" w:type="dxa"/>
              <w:end w:w="100" w:type="dxa"/>
            </w:tcMar>
          </w:tcPr>
          <w:p>
            <w:r>
              <w:t>TM has operational authority to manage the position subject to RM/User/policy.</w:t>
            </w:r>
          </w:p>
        </w:tc>
      </w:tr>
      <w:tr>
        <w:trPr>
          <w:cantSplit/>
        </w:trPr>
        <w:tc>
          <w:tcPr>
            <w:tcW w:type="dxa" w:w="4997"/>
            <w:vAlign w:val="top"/>
            <w:tcMar>
              <w:top w:w="80" w:type="dxa"/>
              <w:start w:w="100" w:type="dxa"/>
              <w:bottom w:w="80" w:type="dxa"/>
              <w:end w:w="100" w:type="dxa"/>
            </w:tcMar>
          </w:tcPr>
          <w:p>
            <w:r>
              <w:t>UNMANAGED</w:t>
            </w:r>
          </w:p>
        </w:tc>
        <w:tc>
          <w:tcPr>
            <w:tcW w:type="dxa" w:w="4997"/>
            <w:vAlign w:val="top"/>
            <w:tcMar>
              <w:top w:w="80" w:type="dxa"/>
              <w:start w:w="100" w:type="dxa"/>
              <w:bottom w:w="80" w:type="dxa"/>
              <w:end w:w="100" w:type="dxa"/>
            </w:tcMar>
          </w:tcPr>
          <w:p>
            <w:r>
              <w:t>Visible and risk-counted broker position, but read-only to TM until adoption.</w:t>
            </w:r>
          </w:p>
        </w:tc>
      </w:tr>
      <w:tr>
        <w:trPr>
          <w:cantSplit/>
        </w:trPr>
        <w:tc>
          <w:tcPr>
            <w:tcW w:type="dxa" w:w="4997"/>
            <w:vAlign w:val="top"/>
            <w:tcMar>
              <w:top w:w="80" w:type="dxa"/>
              <w:start w:w="100" w:type="dxa"/>
              <w:bottom w:w="80" w:type="dxa"/>
              <w:end w:w="100" w:type="dxa"/>
            </w:tcMar>
          </w:tcPr>
          <w:p>
            <w:r>
              <w:t>Adoption</w:t>
            </w:r>
          </w:p>
        </w:tc>
        <w:tc>
          <w:tcPr>
            <w:tcW w:type="dxa" w:w="4997"/>
            <w:vAlign w:val="top"/>
            <w:tcMar>
              <w:top w:w="80" w:type="dxa"/>
              <w:start w:w="100" w:type="dxa"/>
              <w:bottom w:w="80" w:type="dxa"/>
              <w:end w:w="100" w:type="dxa"/>
            </w:tcMar>
          </w:tcPr>
          <w:p>
            <w:r>
              <w:t>Explicit transition of a broker position from UNMANAGED to MANAGED.</w:t>
            </w:r>
          </w:p>
        </w:tc>
      </w:tr>
      <w:tr>
        <w:trPr>
          <w:cantSplit/>
        </w:trPr>
        <w:tc>
          <w:tcPr>
            <w:tcW w:type="dxa" w:w="4997"/>
            <w:vAlign w:val="top"/>
            <w:tcMar>
              <w:top w:w="80" w:type="dxa"/>
              <w:start w:w="100" w:type="dxa"/>
              <w:bottom w:w="80" w:type="dxa"/>
              <w:end w:w="100" w:type="dxa"/>
            </w:tcMar>
          </w:tcPr>
          <w:p>
            <w:r>
              <w:t>Risk Management</w:t>
            </w:r>
          </w:p>
        </w:tc>
        <w:tc>
          <w:tcPr>
            <w:tcW w:type="dxa" w:w="4997"/>
            <w:vAlign w:val="top"/>
            <w:tcMar>
              <w:top w:w="80" w:type="dxa"/>
              <w:start w:w="100" w:type="dxa"/>
              <w:bottom w:w="80" w:type="dxa"/>
              <w:end w:w="100" w:type="dxa"/>
            </w:tcMar>
          </w:tcPr>
          <w:p>
            <w:r>
              <w:t>Highest runtime operational authority; controls permitted risk.</w:t>
            </w:r>
          </w:p>
        </w:tc>
      </w:tr>
      <w:tr>
        <w:trPr>
          <w:cantSplit/>
        </w:trPr>
        <w:tc>
          <w:tcPr>
            <w:tcW w:type="dxa" w:w="4997"/>
            <w:vAlign w:val="top"/>
            <w:tcMar>
              <w:top w:w="80" w:type="dxa"/>
              <w:start w:w="100" w:type="dxa"/>
              <w:bottom w:w="80" w:type="dxa"/>
              <w:end w:w="100" w:type="dxa"/>
            </w:tcMar>
          </w:tcPr>
          <w:p>
            <w:r>
              <w:t>Agents Service</w:t>
            </w:r>
          </w:p>
        </w:tc>
        <w:tc>
          <w:tcPr>
            <w:tcW w:type="dxa" w:w="4997"/>
            <w:vAlign w:val="top"/>
            <w:tcMar>
              <w:top w:w="80" w:type="dxa"/>
              <w:start w:w="100" w:type="dxa"/>
              <w:bottom w:w="80" w:type="dxa"/>
              <w:end w:w="100" w:type="dxa"/>
            </w:tcMar>
          </w:tcPr>
          <w:p>
            <w:r>
              <w:t>Separate low-authority external reasoning/validation service.</w:t>
            </w:r>
          </w:p>
        </w:tc>
      </w:tr>
      <w:tr>
        <w:trPr>
          <w:cantSplit/>
        </w:trPr>
        <w:tc>
          <w:tcPr>
            <w:tcW w:type="dxa" w:w="4997"/>
            <w:vAlign w:val="top"/>
            <w:tcMar>
              <w:top w:w="80" w:type="dxa"/>
              <w:start w:w="100" w:type="dxa"/>
              <w:bottom w:w="80" w:type="dxa"/>
              <w:end w:w="100" w:type="dxa"/>
            </w:tcMar>
          </w:tcPr>
          <w:p>
            <w:r>
              <w:t>Module M</w:t>
            </w:r>
          </w:p>
        </w:tc>
        <w:tc>
          <w:tcPr>
            <w:tcW w:type="dxa" w:w="4997"/>
            <w:vAlign w:val="top"/>
            <w:tcMar>
              <w:top w:w="80" w:type="dxa"/>
              <w:start w:w="100" w:type="dxa"/>
              <w:bottom w:w="80" w:type="dxa"/>
              <w:end w:w="100" w:type="dxa"/>
            </w:tcMar>
          </w:tcPr>
          <w:p>
            <w:r>
              <w:t>Generic execution deployment module that converts authorized ExecutionRequests into broker operations.</w:t>
            </w:r>
          </w:p>
        </w:tc>
      </w:tr>
      <w:tr>
        <w:trPr>
          <w:cantSplit/>
        </w:trPr>
        <w:tc>
          <w:tcPr>
            <w:tcW w:type="dxa" w:w="4997"/>
            <w:vAlign w:val="top"/>
            <w:tcMar>
              <w:top w:w="80" w:type="dxa"/>
              <w:start w:w="100" w:type="dxa"/>
              <w:bottom w:w="80" w:type="dxa"/>
              <w:end w:w="100" w:type="dxa"/>
            </w:tcMar>
          </w:tcPr>
          <w:p>
            <w:r>
              <w:t>Broker Reality</w:t>
            </w:r>
          </w:p>
        </w:tc>
        <w:tc>
          <w:tcPr>
            <w:tcW w:type="dxa" w:w="4997"/>
            <w:vAlign w:val="top"/>
            <w:tcMar>
              <w:top w:w="80" w:type="dxa"/>
              <w:start w:w="100" w:type="dxa"/>
              <w:bottom w:w="80" w:type="dxa"/>
              <w:end w:w="100" w:type="dxa"/>
            </w:tcMar>
          </w:tcPr>
          <w:p>
            <w:r>
              <w:t>Factual truth for broker orders, fills and positions.</w:t>
            </w:r>
          </w:p>
        </w:tc>
      </w:tr>
      <w:tr>
        <w:trPr>
          <w:cantSplit/>
        </w:trPr>
        <w:tc>
          <w:tcPr>
            <w:tcW w:type="dxa" w:w="4997"/>
            <w:vAlign w:val="top"/>
            <w:tcMar>
              <w:top w:w="80" w:type="dxa"/>
              <w:start w:w="100" w:type="dxa"/>
              <w:bottom w:w="80" w:type="dxa"/>
              <w:end w:w="100" w:type="dxa"/>
            </w:tcMar>
          </w:tcPr>
          <w:p>
            <w:r>
              <w:t>RETREAT_WAIT</w:t>
            </w:r>
          </w:p>
        </w:tc>
        <w:tc>
          <w:tcPr>
            <w:tcW w:type="dxa" w:w="4997"/>
            <w:vAlign w:val="top"/>
            <w:tcMar>
              <w:top w:w="80" w:type="dxa"/>
              <w:start w:w="100" w:type="dxa"/>
              <w:bottom w:w="80" w:type="dxa"/>
              <w:end w:w="100" w:type="dxa"/>
            </w:tcMar>
          </w:tcPr>
          <w:p>
            <w:r>
              <w:t>Do not proceed with the proposed action now; preserve/reassess the opportunity where appropriate.</w:t>
            </w:r>
          </w:p>
        </w:tc>
      </w:tr>
    </w:tbl>
    <w:p/>
    <w:p>
      <w:pPr>
        <w:pStyle w:val="Heading1"/>
      </w:pPr>
      <w:r>
        <w:t>28. Closing Assessment</w:t>
      </w:r>
    </w:p>
    <w:p>
      <w:r>
        <w:t>The architecture through TM0.12 is coherent. Major responsibilities have natural owners, operational authority is explicit, external intelligence is bounded, execution is isolated, external broker exposure has a hard management boundary, repeated opportunities are reconciled with temporal relevance, and failure handling is contained through vertical/horizontal responsibility.</w:t>
      </w:r>
    </w:p>
    <w:p>
      <w:r>
        <w:t>The design is intentionally not frozen at every low-level behavior. That is healthy. Exact thresholds, concurrency mechanisms, persistence representation, console details and selected control-state semantics can evolve as implementation and forward testing teach us more, without disturbing the core structure.</w:t>
      </w:r>
    </w:p>
    <w:p>
      <w:r>
        <w:t>The architecture should therefore be treated as a baseline rather than a cage: future changes are welcome when justified, but they should be compared against this thesis so that simplicity, responsibility, loose coupling, risk authority and broker truth are not lost through gradual drift.</w:t>
      </w:r>
    </w:p>
    <w:tbl>
      <w:tblPr>
        <w:tblStyle w:val="TableGrid"/>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pPr>
              <w:jc w:val="center"/>
            </w:pPr>
            <w:r>
              <w:rPr>
                <w:b/>
                <w:sz w:val="24"/>
              </w:rPr>
              <w:t>TRADEMONITOR REFERENCE BASELINE</w:t>
            </w:r>
          </w:p>
          <w:p>
            <w:pPr>
              <w:jc w:val="center"/>
            </w:pPr>
            <w:r>
              <w:t>Simple • Loosely Coupled • Responsible • Flexible</w:t>
            </w:r>
          </w:p>
          <w:p>
            <w:pPr>
              <w:jc w:val="center"/>
            </w:pPr>
            <w:r>
              <w:t>Broker truth. Risk first. User authority. Domain ownership. Agents for independent reasoning. Module M for execution only.</w:t>
            </w:r>
          </w:p>
        </w:tc>
      </w:tr>
    </w:tbl>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TradeMonitor — TM0 Architecture Thesis / Reference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Code">
    <w:name w:val="TM Code"/>
    <w:pPr>
      <w:spacing w:before="80" w:after="12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