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sz w:val="60"/>
        </w:rPr>
        <w:t>TradeMonitor</w:t>
      </w:r>
    </w:p>
    <w:p>
      <w:pPr>
        <w:jc w:val="center"/>
      </w:pPr>
      <w:r>
        <w:rPr>
          <w:b/>
          <w:sz w:val="48"/>
        </w:rPr>
        <w:t>Development Roadmap</w:t>
      </w:r>
    </w:p>
    <w:p>
      <w:pPr>
        <w:jc w:val="center"/>
      </w:pPr>
      <w:r>
        <w:rPr>
          <w:sz w:val="36"/>
        </w:rPr>
        <w:t>TM1 → TM4</w:t>
      </w:r>
    </w:p>
    <w:p>
      <w:pPr>
        <w:spacing w:after="360"/>
        <w:jc w:val="center"/>
      </w:pPr>
      <w:r>
        <w:rPr>
          <w:b w:val="0"/>
          <w:i/>
          <w:sz w:val="22"/>
        </w:rPr>
        <w:t>Canonical development map derived from the TM0 Architecture Thesis</w:t>
      </w:r>
    </w:p>
    <w:p>
      <w:pPr>
        <w:spacing w:after="600"/>
        <w:jc w:val="center"/>
      </w:pPr>
      <w:r>
        <w:rPr>
          <w:b w:val="0"/>
          <w:i w:val="0"/>
          <w:sz w:val="22"/>
        </w:rPr>
        <w:t>Purpose: preserve the implementation sequence, milestone boundaries, acceptance gates, and safety progression so this document can be repeatedly used as the project's map.</w:t>
      </w:r>
    </w:p>
    <w:p>
      <w:pPr>
        <w:spacing w:before="300" w:after="300"/>
        <w:jc w:val="center"/>
      </w:pPr>
      <w:r>
        <w:rPr>
          <w:b/>
          <w:i/>
          <w:sz w:val="26"/>
        </w:rPr>
        <w:t>“Nothing creating risk reaches Module M without current Risk Management permission.”</w:t>
      </w:r>
    </w:p>
    <w:p>
      <w:pPr>
        <w:spacing w:after="80"/>
        <w:jc w:val="center"/>
      </w:pPr>
      <w:r>
        <w:rPr>
          <w:b w:val="0"/>
          <w:i w:val="0"/>
          <w:sz w:val="18"/>
        </w:rPr>
        <w:t>Architecture reference: TradeMonitor TM0 Architecture Thesis</w:t>
      </w:r>
    </w:p>
    <w:p>
      <w:r>
        <w:br w:type="page"/>
      </w:r>
    </w:p>
    <w:p>
      <w:pPr>
        <w:pStyle w:val="Heading1"/>
      </w:pPr>
      <w:r>
        <w:t>1. Roadmap Philosophy</w:t>
      </w:r>
    </w:p>
    <w:p>
      <w:pPr>
        <w:spacing w:after="80"/>
      </w:pPr>
      <w:r>
        <w:rPr>
          <w:b w:val="0"/>
          <w:i w:val="0"/>
        </w:rPr>
        <w:t>TradeMonitor will be developed through four major milestones. Each milestone contains smaller TGT targets that can be implemented, tested, reviewed, and frozen independently.</w:t>
      </w:r>
    </w:p>
    <w:p>
      <w:pPr>
        <w:pStyle w:val="ListBullet"/>
      </w:pPr>
      <w:r>
        <w:rPr>
          <w:b/>
        </w:rPr>
        <w:t>TM1 — KNOW REALITY</w:t>
      </w:r>
    </w:p>
    <w:p>
      <w:pPr>
        <w:pStyle w:val="ListBullet"/>
      </w:pPr>
      <w:r>
        <w:rPr>
          <w:b/>
        </w:rPr>
        <w:t>TM2 — DECIDE ENTRY</w:t>
      </w:r>
    </w:p>
    <w:p>
      <w:pPr>
        <w:pStyle w:val="ListBullet"/>
      </w:pPr>
      <w:r>
        <w:rPr>
          <w:b/>
        </w:rPr>
        <w:t>TM3 — MANAGE POSITION</w:t>
      </w:r>
    </w:p>
    <w:p>
      <w:pPr>
        <w:pStyle w:val="ListBullet"/>
      </w:pPr>
      <w:r>
        <w:rPr>
          <w:b/>
        </w:rPr>
        <w:t>TM4 — EXECUTE FOR REAL</w:t>
      </w:r>
    </w:p>
    <w:p>
      <w:pPr>
        <w:spacing w:after="80"/>
      </w:pPr>
      <w:r>
        <w:rPr>
          <w:b w:val="0"/>
          <w:i w:val="0"/>
        </w:rPr>
        <w:t>The ordering is deliberate: live broker execution comes only after runtime coordination, broker reconciliation, entry decision flow, Risk Management, position management, exit logic, and recovery behavior have already been exercised in PAPER mode.</w:t>
      </w:r>
    </w:p>
    <w:p>
      <w:pPr>
        <w:pStyle w:val="Heading2"/>
      </w:pPr>
      <w:r>
        <w:t>Roadmap Guardrails</w:t>
      </w:r>
    </w:p>
    <w:p>
      <w:pPr>
        <w:pStyle w:val="ListBullet"/>
      </w:pPr>
      <w:r>
        <w:t>Broker reality is factual truth for broker orders, fills, and positions.</w:t>
      </w:r>
    </w:p>
    <w:p>
      <w:pPr>
        <w:pStyle w:val="ListBullet"/>
      </w:pPr>
      <w:r>
        <w:t>Risk Management is the highest runtime authority inside TM.</w:t>
      </w:r>
    </w:p>
    <w:p>
      <w:pPr>
        <w:pStyle w:val="ListBullet"/>
      </w:pPr>
      <w:r>
        <w:t>Nothing creating risk reaches Module M without current Risk Management permission.</w:t>
      </w:r>
    </w:p>
    <w:p>
      <w:pPr>
        <w:pStyle w:val="ListBullet"/>
      </w:pPr>
      <w:r>
        <w:t>The User is the highest normal discretionary authority below Risk Management.</w:t>
      </w:r>
    </w:p>
    <w:p>
      <w:pPr>
        <w:pStyle w:val="ListBullet"/>
      </w:pPr>
      <w:r>
        <w:t>Module M deploys authorized execution requests; it does not decide whether a trade is good.</w:t>
      </w:r>
    </w:p>
    <w:p>
      <w:pPr>
        <w:pStyle w:val="ListBullet"/>
      </w:pPr>
      <w:r>
        <w:t>Agents are an external, low-authority advisory/validation service.</w:t>
      </w:r>
    </w:p>
    <w:p>
      <w:pPr>
        <w:pStyle w:val="ListBullet"/>
      </w:pPr>
      <w:r>
        <w:t>Positions use a unified MANAGED / UNMANAGED management status.</w:t>
      </w:r>
    </w:p>
    <w:p>
      <w:pPr>
        <w:pStyle w:val="ListBullet"/>
      </w:pPr>
      <w:r>
        <w:t>UNMANAGED broker positions are read-only until explicitly adopted.</w:t>
      </w:r>
    </w:p>
    <w:p>
      <w:pPr>
        <w:pStyle w:val="ListBullet"/>
      </w:pPr>
      <w:r>
        <w:t>TM should remain simple, loosely coupled, responsible, flexible, and able to degrade by capability.</w:t>
      </w:r>
    </w:p>
    <w:p>
      <w:pPr>
        <w:pStyle w:val="Heading1"/>
      </w:pPr>
      <w:r>
        <w:t>2. Milestone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t>Milestone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Purpose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Primary Outcome</w:t>
            </w:r>
          </w:p>
        </w:tc>
      </w:tr>
      <w:tr>
        <w:tc>
          <w:tcPr>
            <w:tcW w:type="dxa" w:w="3360"/>
          </w:tcPr>
          <w:p>
            <w:r>
              <w:t>TM1</w:t>
            </w:r>
          </w:p>
        </w:tc>
        <w:tc>
          <w:tcPr>
            <w:tcW w:type="dxa" w:w="3360"/>
          </w:tcPr>
          <w:p>
            <w:r>
              <w:t>Core Foundation</w:t>
            </w:r>
          </w:p>
        </w:tc>
        <w:tc>
          <w:tcPr>
            <w:tcW w:type="dxa" w:w="3360"/>
          </w:tcPr>
          <w:p>
            <w:r>
              <w:t>TM understands reality and maintains coherent runtime state</w:t>
            </w:r>
          </w:p>
        </w:tc>
      </w:tr>
      <w:tr>
        <w:tc>
          <w:tcPr>
            <w:tcW w:type="dxa" w:w="3360"/>
          </w:tcPr>
          <w:p>
            <w:r>
              <w:t>TM2</w:t>
            </w:r>
          </w:p>
        </w:tc>
        <w:tc>
          <w:tcPr>
            <w:tcW w:type="dxa" w:w="3360"/>
          </w:tcPr>
          <w:p>
            <w:r>
              <w:t>Trade Intake + Entry Decision</w:t>
            </w:r>
          </w:p>
        </w:tc>
        <w:tc>
          <w:tcPr>
            <w:tcW w:type="dxa" w:w="3360"/>
          </w:tcPr>
          <w:p>
            <w:r>
              <w:t>TM can decide whether a trade should be entered</w:t>
            </w:r>
          </w:p>
        </w:tc>
      </w:tr>
      <w:tr>
        <w:tc>
          <w:tcPr>
            <w:tcW w:type="dxa" w:w="3360"/>
          </w:tcPr>
          <w:p>
            <w:r>
              <w:t>TM3</w:t>
            </w:r>
          </w:p>
        </w:tc>
        <w:tc>
          <w:tcPr>
            <w:tcW w:type="dxa" w:w="3360"/>
          </w:tcPr>
          <w:p>
            <w:r>
              <w:t>Position Management + Exit</w:t>
            </w:r>
          </w:p>
        </w:tc>
        <w:tc>
          <w:tcPr>
            <w:tcW w:type="dxa" w:w="3360"/>
          </w:tcPr>
          <w:p>
            <w:r>
              <w:t>TM can manage a position from entry to closure</w:t>
            </w:r>
          </w:p>
        </w:tc>
      </w:tr>
      <w:tr>
        <w:tc>
          <w:tcPr>
            <w:tcW w:type="dxa" w:w="3360"/>
          </w:tcPr>
          <w:p>
            <w:r>
              <w:t>TM4</w:t>
            </w:r>
          </w:p>
        </w:tc>
        <w:tc>
          <w:tcPr>
            <w:tcW w:type="dxa" w:w="3360"/>
          </w:tcPr>
          <w:p>
            <w:r>
              <w:t>Execution + Production Readiness</w:t>
            </w:r>
          </w:p>
        </w:tc>
        <w:tc>
          <w:tcPr>
            <w:tcW w:type="dxa" w:w="3360"/>
          </w:tcPr>
          <w:p>
            <w:r>
              <w:t>TM can safely deploy approved actions to a real broker</w:t>
            </w:r>
          </w:p>
        </w:tc>
      </w:tr>
    </w:tbl>
    <w:p>
      <w:r>
        <w:br w:type="page"/>
      </w:r>
    </w:p>
    <w:p>
      <w:pPr>
        <w:pStyle w:val="Heading1"/>
      </w:pPr>
      <w:r>
        <w:t>TM1 — CORE FOUNDATION</w:t>
      </w:r>
    </w:p>
    <w:p>
      <w:pPr>
        <w:spacing w:after="240"/>
      </w:pPr>
      <w:r>
        <w:rPr>
          <w:b/>
          <w:sz w:val="22"/>
        </w:rPr>
        <w:t>GOAL</w:t>
      </w:r>
      <w:r>
        <w:br/>
        <w:t>Build the reliable TradeMonitor runtime around the TM0 thesis. TM should start, recover, synchronize contexts, understand broker reality, and present one coherent operational picture while remaining incapable of live trading.</w:t>
      </w:r>
    </w:p>
    <w:p>
      <w:pPr>
        <w:pStyle w:val="Heading2"/>
      </w:pPr>
      <w:r>
        <w:t>TGT1 — Core TM Manager and Runtime Contexts</w:t>
      </w:r>
    </w:p>
    <w:p>
      <w:pPr>
        <w:pStyle w:val="ListBullet"/>
      </w:pPr>
      <w:r>
        <w:t>Core TM Manager</w:t>
      </w:r>
    </w:p>
    <w:p>
      <w:pPr>
        <w:pStyle w:val="ListBullet"/>
      </w:pPr>
      <w:r>
        <w:t>Event routing / coordination foundation</w:t>
      </w:r>
    </w:p>
    <w:p>
      <w:pPr>
        <w:pStyle w:val="ListBullet"/>
      </w:pPr>
      <w:r>
        <w:t>Runtime contexts for broker, market, trade, position, risk, decision, and health</w:t>
      </w:r>
    </w:p>
    <w:p>
      <w:pPr>
        <w:pStyle w:val="ListBullet"/>
      </w:pPr>
      <w:r>
        <w:t>Persistence foundation and restart/recovery framework</w:t>
      </w:r>
    </w:p>
    <w:p>
      <w:pPr>
        <w:pStyle w:val="ListBullet"/>
      </w:pPr>
      <w:r>
        <w:t>Structured event/audit logging</w:t>
      </w:r>
    </w:p>
    <w:p>
      <w:pPr>
        <w:pStyle w:val="ListBullet"/>
      </w:pPr>
      <w:r>
        <w:t>Controlled state transitions</w:t>
      </w:r>
    </w:p>
    <w:p>
      <w:pPr>
        <w:pStyle w:val="ListBullet"/>
      </w:pPr>
      <w:r>
        <w:t>No live execution capability</w:t>
      </w:r>
    </w:p>
    <w:p>
      <w:pPr>
        <w:spacing w:after="200"/>
      </w:pPr>
      <w:r>
        <w:rPr>
          <w:b/>
        </w:rPr>
        <w:t xml:space="preserve">Acceptance: </w:t>
      </w:r>
      <w:r>
        <w:t>TM can start, initialize contexts, persist meaningful state, restart, and reconstruct a coherent runtime view.</w:t>
      </w:r>
    </w:p>
    <w:p>
      <w:pPr>
        <w:pStyle w:val="Heading2"/>
      </w:pPr>
      <w:r>
        <w:t>TGT2 — Broker Truth and Position Reconciliation</w:t>
      </w:r>
    </w:p>
    <w:p>
      <w:pPr>
        <w:pStyle w:val="ListBullet"/>
      </w:pPr>
      <w:r>
        <w:t>Broker adapter foundation</w:t>
      </w:r>
    </w:p>
    <w:p>
      <w:pPr>
        <w:pStyle w:val="ListBullet"/>
      </w:pPr>
      <w:r>
        <w:t>Read broker positions/orders/fills/funds as supported</w:t>
      </w:r>
    </w:p>
    <w:p>
      <w:pPr>
        <w:pStyle w:val="ListBullet"/>
      </w:pPr>
      <w:r>
        <w:t>Reconcile persisted TM state with broker state</w:t>
      </w:r>
    </w:p>
    <w:p>
      <w:pPr>
        <w:pStyle w:val="ListBullet"/>
      </w:pPr>
      <w:r>
        <w:t>Unified Positions view</w:t>
      </w:r>
    </w:p>
    <w:p>
      <w:pPr>
        <w:pStyle w:val="ListBullet"/>
      </w:pPr>
      <w:r>
        <w:t>MANAGED / UNMANAGED boundary</w:t>
      </w:r>
    </w:p>
    <w:p>
      <w:pPr>
        <w:pStyle w:val="ListBullet"/>
      </w:pPr>
      <w:r>
        <w:t>Origin/provenance retained separately from management status</w:t>
      </w:r>
    </w:p>
    <w:p>
      <w:pPr>
        <w:pStyle w:val="ListBullet"/>
      </w:pPr>
      <w:r>
        <w:t>UNMANAGED positions are visible and risk-visible but read-only</w:t>
      </w:r>
    </w:p>
    <w:p>
      <w:pPr>
        <w:pStyle w:val="ListBullet"/>
      </w:pPr>
      <w:r>
        <w:t>No implicit adoption</w:t>
      </w:r>
    </w:p>
    <w:p>
      <w:pPr>
        <w:spacing w:after="200"/>
      </w:pPr>
      <w:r>
        <w:rPr>
          <w:b/>
        </w:rPr>
        <w:t xml:space="preserve">Acceptance: </w:t>
      </w:r>
      <w:r>
        <w:t>TM accurately reflects broker reality after startup/restart and cannot modify an UNMANAGED position.</w:t>
      </w:r>
    </w:p>
    <w:p>
      <w:pPr>
        <w:pStyle w:val="Heading2"/>
      </w:pPr>
      <w:r>
        <w:t>TGT3 — Health, Fault Containment, and Control Room</w:t>
      </w:r>
    </w:p>
    <w:p>
      <w:pPr>
        <w:pStyle w:val="ListBullet"/>
      </w:pPr>
      <w:r>
        <w:t>Vertical failure handling at the closest competent parent</w:t>
      </w:r>
    </w:p>
    <w:p>
      <w:pPr>
        <w:pStyle w:val="ListBullet"/>
      </w:pPr>
      <w:r>
        <w:t>Horizontal peer domains own and contain failures</w:t>
      </w:r>
    </w:p>
    <w:p>
      <w:pPr>
        <w:pStyle w:val="ListBullet"/>
      </w:pPr>
      <w:r>
        <w:t>Domain health reporting</w:t>
      </w:r>
    </w:p>
    <w:p>
      <w:pPr>
        <w:pStyle w:val="ListBullet"/>
      </w:pPr>
      <w:r>
        <w:t>Capability-specific degradation</w:t>
      </w:r>
    </w:p>
    <w:p>
      <w:pPr>
        <w:pStyle w:val="ListBullet"/>
      </w:pPr>
      <w:r>
        <w:t>Attention queue</w:t>
      </w:r>
    </w:p>
    <w:p>
      <w:pPr>
        <w:pStyle w:val="ListBullet"/>
      </w:pPr>
      <w:r>
        <w:t>Unified Positions pane</w:t>
      </w:r>
    </w:p>
    <w:p>
      <w:pPr>
        <w:pStyle w:val="ListBullet"/>
      </w:pPr>
      <w:r>
        <w:t>System/broker/market/RM health panel</w:t>
      </w:r>
    </w:p>
    <w:p>
      <w:pPr>
        <w:pStyle w:val="ListBullet"/>
      </w:pPr>
      <w:r>
        <w:t>PAPER / SEMI_AUTO / AUTO framework may exist, but only PAPER is actionable</w:t>
      </w:r>
    </w:p>
    <w:p>
      <w:pPr>
        <w:spacing w:after="200"/>
      </w:pPr>
      <w:r>
        <w:rPr>
          <w:b/>
        </w:rPr>
        <w:t xml:space="preserve">Acceptance: </w:t>
      </w:r>
      <w:r>
        <w:t>Failure of one non-critical domain does not unnecessarily collapse unrelated capabilities, and the operator can see what failed and what TM is doing about it.</w:t>
      </w:r>
    </w:p>
    <w:p>
      <w:pPr>
        <w:pStyle w:val="Heading2"/>
      </w:pPr>
      <w:r>
        <w:t>TGT4 — PAPER Runtime, Recovery, and Replay Validation</w:t>
      </w:r>
    </w:p>
    <w:p>
      <w:pPr>
        <w:pStyle w:val="ListBullet"/>
      </w:pPr>
      <w:r>
        <w:t>Restart during active state</w:t>
      </w:r>
    </w:p>
    <w:p>
      <w:pPr>
        <w:pStyle w:val="ListBullet"/>
      </w:pPr>
      <w:r>
        <w:t>Broker-state mismatch reconciliation</w:t>
      </w:r>
    </w:p>
    <w:p>
      <w:pPr>
        <w:pStyle w:val="ListBullet"/>
      </w:pPr>
      <w:r>
        <w:t>Stale data handling</w:t>
      </w:r>
    </w:p>
    <w:p>
      <w:pPr>
        <w:pStyle w:val="ListBullet"/>
      </w:pPr>
      <w:r>
        <w:t>Duplicate-event tolerance</w:t>
      </w:r>
    </w:p>
    <w:p>
      <w:pPr>
        <w:pStyle w:val="ListBullet"/>
      </w:pPr>
      <w:r>
        <w:t>Simulated component failure</w:t>
      </w:r>
    </w:p>
    <w:p>
      <w:pPr>
        <w:pStyle w:val="ListBullet"/>
      </w:pPr>
      <w:r>
        <w:t>Crash/recovery scenarios</w:t>
      </w:r>
    </w:p>
    <w:p>
      <w:pPr>
        <w:pStyle w:val="ListBullet"/>
      </w:pPr>
      <w:r>
        <w:t>Persistent logs and auditability</w:t>
      </w:r>
    </w:p>
    <w:p>
      <w:pPr>
        <w:pStyle w:val="ListBullet"/>
      </w:pPr>
      <w:r>
        <w:t>No broker write operations</w:t>
      </w:r>
    </w:p>
    <w:p>
      <w:pPr>
        <w:spacing w:after="200"/>
      </w:pPr>
      <w:r>
        <w:rPr>
          <w:b/>
        </w:rPr>
        <w:t xml:space="preserve">Acceptance: </w:t>
      </w:r>
      <w:r>
        <w:t>The TM1 runtime survives realistic recovery and fault scenarios in PAPER mode.</w:t>
      </w:r>
    </w:p>
    <w:p>
      <w:pPr>
        <w:pStyle w:val="Heading2"/>
      </w:pPr>
      <w:r>
        <w:t>TM1 Exit Criterion</w:t>
      </w:r>
    </w:p>
    <w:p>
      <w:pPr>
        <w:spacing w:before="80" w:after="160"/>
        <w:ind w:left="360" w:right="360"/>
      </w:pPr>
      <w:r>
        <w:rPr>
          <w:b/>
          <w:i/>
        </w:rPr>
        <w:t>TM can start, recover, understand broker reality, maintain coherent contexts, show MANAGED / UNMANAGED positions, contain domain failures, and operate safely in PAPER mode. It still cannot place live broker orders.</w:t>
      </w:r>
    </w:p>
    <w:p>
      <w:r>
        <w:br w:type="page"/>
      </w:r>
    </w:p>
    <w:p>
      <w:pPr>
        <w:pStyle w:val="Heading1"/>
      </w:pPr>
      <w:r>
        <w:t>TM2 — TRADE INTAKE + ENTRY DECISION</w:t>
      </w:r>
    </w:p>
    <w:p>
      <w:pPr>
        <w:spacing w:after="240"/>
      </w:pPr>
      <w:r>
        <w:rPr>
          <w:b/>
          <w:sz w:val="22"/>
        </w:rPr>
        <w:t>GOAL</w:t>
      </w:r>
      <w:r>
        <w:br/>
        <w:t>Turn scanner, Sheet, User, and other incoming observations into coherent, de-duplicated, time-relevant trade opportunities and govern the complete entry decision process in PAPER mode.</w:t>
      </w:r>
    </w:p>
    <w:p>
      <w:pPr>
        <w:pStyle w:val="Heading2"/>
      </w:pPr>
      <w:r>
        <w:t>TGT1 — Trade Intake, Source Identity, Outcome and Episode</w:t>
      </w:r>
    </w:p>
    <w:p>
      <w:pPr>
        <w:pStyle w:val="ListBullet"/>
      </w:pPr>
      <w:r>
        <w:t>Source observations with src_id and preserved provenance</w:t>
      </w:r>
    </w:p>
    <w:p>
      <w:pPr>
        <w:pStyle w:val="ListBullet"/>
      </w:pPr>
      <w:r>
        <w:t>Normalization of incoming intents</w:t>
      </w:r>
    </w:p>
    <w:p>
      <w:pPr>
        <w:pStyle w:val="ListBullet"/>
      </w:pPr>
      <w:r>
        <w:t>Outcome / Opportunity identity</w:t>
      </w:r>
    </w:p>
    <w:p>
      <w:pPr>
        <w:pStyle w:val="ListBullet"/>
      </w:pPr>
      <w:r>
        <w:t>Time-relevant Episode concept</w:t>
      </w:r>
    </w:p>
    <w:p>
      <w:pPr>
        <w:pStyle w:val="ListBullet"/>
      </w:pPr>
      <w:r>
        <w:t>Datetime relevance</w:t>
      </w:r>
    </w:p>
    <w:p>
      <w:pPr>
        <w:pStyle w:val="ListBullet"/>
      </w:pPr>
      <w:r>
        <w:t>De-duplication</w:t>
      </w:r>
    </w:p>
    <w:p>
      <w:pPr>
        <w:pStyle w:val="ListBullet"/>
      </w:pPr>
      <w:r>
        <w:t>Same-source/different-outcome handling</w:t>
      </w:r>
    </w:p>
    <w:p>
      <w:pPr>
        <w:pStyle w:val="ListBullet"/>
      </w:pPr>
      <w:r>
        <w:t>Different-source/same-outcome reconciliation</w:t>
      </w:r>
    </w:p>
    <w:p>
      <w:pPr>
        <w:pStyle w:val="ListBullet"/>
      </w:pPr>
      <w:r>
        <w:t>Existing-position awareness</w:t>
      </w:r>
    </w:p>
    <w:p>
      <w:pPr>
        <w:pStyle w:val="ListBullet"/>
      </w:pPr>
      <w:r>
        <w:t>Repeated signals never silently increase position size</w:t>
      </w:r>
    </w:p>
    <w:p>
      <w:pPr>
        <w:pStyle w:val="ListBullet"/>
      </w:pPr>
      <w:r>
        <w:t>High ambiguity may be delegated to the external Agents service</w:t>
      </w:r>
    </w:p>
    <w:p>
      <w:pPr>
        <w:spacing w:after="200"/>
      </w:pPr>
      <w:r>
        <w:rPr>
          <w:b/>
        </w:rPr>
        <w:t xml:space="preserve">Acceptance: </w:t>
      </w:r>
      <w:r>
        <w:t>TM can distinguish duplicates, updates, new episodes, distinct outcomes, and existing-exposure rediscovery without creating duplicate operational trade paths.</w:t>
      </w:r>
    </w:p>
    <w:p>
      <w:pPr>
        <w:pStyle w:val="Heading2"/>
      </w:pPr>
      <w:r>
        <w:t>TGT2 — Entry Monitoring and Trade Intent</w:t>
      </w:r>
    </w:p>
    <w:p>
      <w:pPr>
        <w:pStyle w:val="ListBullet"/>
      </w:pPr>
      <w:r>
        <w:t>Trigger detection and confirmation handling</w:t>
      </w:r>
    </w:p>
    <w:p>
      <w:pPr>
        <w:pStyle w:val="ListBullet"/>
      </w:pPr>
      <w:r>
        <w:t>RETREAT / WAIT and invalidation</w:t>
      </w:r>
    </w:p>
    <w:p>
      <w:pPr>
        <w:pStyle w:val="ListBullet"/>
      </w:pPr>
      <w:r>
        <w:t>Current-market revalidation</w:t>
      </w:r>
    </w:p>
    <w:p>
      <w:pPr>
        <w:pStyle w:val="ListBullet"/>
      </w:pPr>
      <w:r>
        <w:t>Trade types: DAY, BTST, STBT, POS</w:t>
      </w:r>
    </w:p>
    <w:p>
      <w:pPr>
        <w:pStyle w:val="ListBullet"/>
      </w:pPr>
      <w:r>
        <w:t>Trade horizon</w:t>
      </w:r>
    </w:p>
    <w:p>
      <w:pPr>
        <w:pStyle w:val="ListBullet"/>
      </w:pPr>
      <w:r>
        <w:t>F&amp;O expiry separate from horizon</w:t>
      </w:r>
    </w:p>
    <w:p>
      <w:pPr>
        <w:pStyle w:val="ListBullet"/>
      </w:pPr>
      <w:r>
        <w:t>Current equity/index F&amp;O focus with later cash compatibility</w:t>
      </w:r>
    </w:p>
    <w:p>
      <w:pPr>
        <w:pStyle w:val="ListBullet"/>
      </w:pPr>
      <w:r>
        <w:t>No automatic scale-in from repeated signals</w:t>
      </w:r>
    </w:p>
    <w:p>
      <w:pPr>
        <w:spacing w:after="200"/>
      </w:pPr>
      <w:r>
        <w:rPr>
          <w:b/>
        </w:rPr>
        <w:t xml:space="preserve">Acceptance: </w:t>
      </w:r>
      <w:r>
        <w:t>An opportunity can progress from monitoring to an actionable proposed trade without broker execution.</w:t>
      </w:r>
    </w:p>
    <w:p>
      <w:pPr>
        <w:pStyle w:val="Heading2"/>
      </w:pPr>
      <w:r>
        <w:t>TGT3 — External Agents Validation Gate</w:t>
      </w:r>
    </w:p>
    <w:p>
      <w:pPr>
        <w:pStyle w:val="ListBullet"/>
      </w:pPr>
      <w:r>
        <w:t>Agents remains a separate service</w:t>
      </w:r>
    </w:p>
    <w:p>
      <w:pPr>
        <w:pStyle w:val="ListBullet"/>
      </w:pPr>
      <w:r>
        <w:t>Bounded decision packets</w:t>
      </w:r>
    </w:p>
    <w:p>
      <w:pPr>
        <w:pStyle w:val="ListBullet"/>
      </w:pPr>
      <w:r>
        <w:t>Mandatory verdict: APPROVE / REJECT / RETREAT_WAIT</w:t>
      </w:r>
    </w:p>
    <w:p>
      <w:pPr>
        <w:pStyle w:val="ListBullet"/>
      </w:pPr>
      <w:r>
        <w:t>Optional suggestion</w:t>
      </w:r>
    </w:p>
    <w:p>
      <w:pPr>
        <w:pStyle w:val="ListBullet"/>
      </w:pPr>
      <w:r>
        <w:t>Suggestions may propose modified or new trades</w:t>
      </w:r>
    </w:p>
    <w:p>
      <w:pPr>
        <w:pStyle w:val="ListBullet"/>
      </w:pPr>
      <w:r>
        <w:t>Suggestions return to the owning TM domain and begin a fresh evaluation cycle if pursued</w:t>
      </w:r>
    </w:p>
    <w:p>
      <w:pPr>
        <w:pStyle w:val="ListBullet"/>
      </w:pPr>
      <w:r>
        <w:t>Agents never send broker orders and do not own TM state</w:t>
      </w:r>
    </w:p>
    <w:p>
      <w:pPr>
        <w:pStyle w:val="ListBullet"/>
      </w:pPr>
      <w:r>
        <w:t>Agent REJECT / RETREAT_WAIT escalates to User</w:t>
      </w:r>
    </w:p>
    <w:p>
      <w:pPr>
        <w:pStyle w:val="ListBullet"/>
      </w:pPr>
      <w:r>
        <w:t>User responds APPROVE / REJECT / RETREAT_WAIT</w:t>
      </w:r>
    </w:p>
    <w:p>
      <w:pPr>
        <w:pStyle w:val="ListBullet"/>
      </w:pPr>
      <w:r>
        <w:t>Agent failure never becomes implicit approval</w:t>
      </w:r>
    </w:p>
    <w:p>
      <w:pPr>
        <w:spacing w:after="200"/>
      </w:pPr>
      <w:r>
        <w:rPr>
          <w:b/>
        </w:rPr>
        <w:t xml:space="preserve">Acceptance: </w:t>
      </w:r>
      <w:r>
        <w:t>TM can obtain an independent view without surrendering ownership or authority to Agents.</w:t>
      </w:r>
    </w:p>
    <w:p>
      <w:pPr>
        <w:pStyle w:val="Heading2"/>
      </w:pPr>
      <w:r>
        <w:t>TGT4 — Risk Management Entry Gate</w:t>
      </w:r>
    </w:p>
    <w:p>
      <w:pPr>
        <w:pStyle w:val="ListBullet"/>
      </w:pPr>
      <w:r>
        <w:t>RM is the highest runtime authority</w:t>
      </w:r>
    </w:p>
    <w:p>
      <w:pPr>
        <w:pStyle w:val="ListBullet"/>
      </w:pPr>
      <w:r>
        <w:t>Pre-trade risk evaluation</w:t>
      </w:r>
    </w:p>
    <w:p>
      <w:pPr>
        <w:pStyle w:val="ListBullet"/>
      </w:pPr>
      <w:r>
        <w:t>Account/portfolio visibility</w:t>
      </w:r>
    </w:p>
    <w:p>
      <w:pPr>
        <w:pStyle w:val="ListBullet"/>
      </w:pPr>
      <w:r>
        <w:t>UNMANAGED positions count for risk but remain read-only</w:t>
      </w:r>
    </w:p>
    <w:p>
      <w:pPr>
        <w:pStyle w:val="ListBullet"/>
      </w:pPr>
      <w:r>
        <w:t>Deterministic PASS / BLOCK</w:t>
      </w:r>
    </w:p>
    <w:p>
      <w:pPr>
        <w:pStyle w:val="ListBullet"/>
      </w:pPr>
      <w:r>
        <w:t>Material RM block/intervention is logged</w:t>
      </w:r>
    </w:p>
    <w:p>
      <w:pPr>
        <w:pStyle w:val="ListBullet"/>
      </w:pPr>
      <w:r>
        <w:t>Setup/Admin-only risk configuration changes</w:t>
      </w:r>
    </w:p>
    <w:p>
      <w:pPr>
        <w:pStyle w:val="ListBullet"/>
      </w:pPr>
      <w:r>
        <w:t>No ordinary force/ignore-risk path</w:t>
      </w:r>
    </w:p>
    <w:p>
      <w:pPr>
        <w:pStyle w:val="ListBullet"/>
      </w:pPr>
      <w:r>
        <w:t>Final current RM permission required before any risk-creating request can reach Module M</w:t>
      </w:r>
    </w:p>
    <w:p>
      <w:pPr>
        <w:spacing w:after="200"/>
      </w:pPr>
      <w:r>
        <w:rPr>
          <w:b/>
        </w:rPr>
        <w:t xml:space="preserve">Acceptance: </w:t>
      </w:r>
      <w:r>
        <w:t>No risk-creating trade can proceed past the entry decision pipeline without a current RM PASS.</w:t>
      </w:r>
    </w:p>
    <w:p>
      <w:pPr>
        <w:pStyle w:val="Heading2"/>
      </w:pPr>
      <w:r>
        <w:t>TM2 Exit Criterion</w:t>
      </w:r>
    </w:p>
    <w:p>
      <w:pPr>
        <w:spacing w:before="80" w:after="160"/>
        <w:ind w:left="360" w:right="360"/>
      </w:pPr>
      <w:r>
        <w:rPr>
          <w:b/>
          <w:i/>
        </w:rPr>
        <w:t>In PAPER mode, TM can intake, reconcile, monitor, validate, obtain independent Agent review, escalate disagreements to the User, and apply Risk Management to decide whether a trade is permitted to proceed.</w:t>
      </w:r>
    </w:p>
    <w:p>
      <w:r>
        <w:br w:type="page"/>
      </w:r>
    </w:p>
    <w:p>
      <w:pPr>
        <w:pStyle w:val="Heading1"/>
      </w:pPr>
      <w:r>
        <w:t>TM3 — POSITION MANAGEMENT + EXIT</w:t>
      </w:r>
    </w:p>
    <w:p>
      <w:pPr>
        <w:spacing w:after="240"/>
      </w:pPr>
      <w:r>
        <w:rPr>
          <w:b/>
          <w:sz w:val="22"/>
        </w:rPr>
        <w:t>GOAL</w:t>
      </w:r>
      <w:r>
        <w:br/>
        <w:t>Manage the full lifecycle of broker-confirmed exposure, including adopted trades, deterministic management rules, strategic exit review, and closure.</w:t>
      </w:r>
    </w:p>
    <w:p>
      <w:pPr>
        <w:pStyle w:val="Heading2"/>
      </w:pPr>
      <w:r>
        <w:t>TGT1 — Position Manager and Adoption</w:t>
      </w:r>
    </w:p>
    <w:p>
      <w:pPr>
        <w:pStyle w:val="ListBullet"/>
      </w:pPr>
      <w:r>
        <w:t>Unified Position domain</w:t>
      </w:r>
    </w:p>
    <w:p>
      <w:pPr>
        <w:pStyle w:val="ListBullet"/>
      </w:pPr>
      <w:r>
        <w:t>MANAGED / UNMANAGED</w:t>
      </w:r>
    </w:p>
    <w:p>
      <w:pPr>
        <w:pStyle w:val="ListBullet"/>
      </w:pPr>
      <w:r>
        <w:t>Explicit adoption of broker-originated positions</w:t>
      </w:r>
    </w:p>
    <w:p>
      <w:pPr>
        <w:pStyle w:val="ListBullet"/>
      </w:pPr>
      <w:r>
        <w:t>Hard adoption boundary until crossed</w:t>
      </w:r>
    </w:p>
    <w:p>
      <w:pPr>
        <w:pStyle w:val="ListBullet"/>
      </w:pPr>
      <w:r>
        <w:t>Sufficient information required according to management level</w:t>
      </w:r>
    </w:p>
    <w:p>
      <w:pPr>
        <w:pStyle w:val="ListBullet"/>
      </w:pPr>
      <w:r>
        <w:t>Native and adopted positions converge on the same management engine after adoption</w:t>
      </w:r>
    </w:p>
    <w:p>
      <w:pPr>
        <w:pStyle w:val="ListBullet"/>
      </w:pPr>
      <w:r>
        <w:t>Provenance retained for audit</w:t>
      </w:r>
    </w:p>
    <w:p>
      <w:pPr>
        <w:spacing w:after="200"/>
      </w:pPr>
      <w:r>
        <w:rPr>
          <w:b/>
        </w:rPr>
        <w:t xml:space="preserve">Acceptance: </w:t>
      </w:r>
      <w:r>
        <w:t>An external broker position can remain read-only or be explicitly adopted and then managed under the same machinery as a TM-native position.</w:t>
      </w:r>
    </w:p>
    <w:p>
      <w:pPr>
        <w:pStyle w:val="Heading2"/>
      </w:pPr>
      <w:r>
        <w:t>TGT2 — Deterministic Management Rules</w:t>
      </w:r>
    </w:p>
    <w:p>
      <w:pPr>
        <w:pStyle w:val="ListBullet"/>
      </w:pPr>
      <w:r>
        <w:t>SL / TP / TSL</w:t>
      </w:r>
    </w:p>
    <w:p>
      <w:pPr>
        <w:pStyle w:val="ListBullet"/>
      </w:pPr>
      <w:r>
        <w:t>Profit targets and profit locks</w:t>
      </w:r>
    </w:p>
    <w:p>
      <w:pPr>
        <w:pStyle w:val="ListBullet"/>
      </w:pPr>
      <w:r>
        <w:t>Spot-based and premium-based conditions</w:t>
      </w:r>
    </w:p>
    <w:p>
      <w:pPr>
        <w:pStyle w:val="ListBullet"/>
      </w:pPr>
      <w:r>
        <w:t>P&amp;L conditions</w:t>
      </w:r>
    </w:p>
    <w:p>
      <w:pPr>
        <w:pStyle w:val="ListBullet"/>
      </w:pPr>
      <w:r>
        <w:t>Time exits and horizon handling</w:t>
      </w:r>
    </w:p>
    <w:p>
      <w:pPr>
        <w:pStyle w:val="ListBullet"/>
      </w:pPr>
      <w:r>
        <w:t>Underlying invalidation</w:t>
      </w:r>
    </w:p>
    <w:p>
      <w:pPr>
        <w:pStyle w:val="ListBullet"/>
      </w:pPr>
      <w:r>
        <w:t>Policy-based management</w:t>
      </w:r>
    </w:p>
    <w:p>
      <w:pPr>
        <w:pStyle w:val="ListBullet"/>
      </w:pPr>
      <w:r>
        <w:t>Safe rule activation and audit logging</w:t>
      </w:r>
    </w:p>
    <w:p>
      <w:pPr>
        <w:spacing w:after="200"/>
      </w:pPr>
      <w:r>
        <w:rPr>
          <w:b/>
        </w:rPr>
        <w:t xml:space="preserve">Acceptance: </w:t>
      </w:r>
      <w:r>
        <w:t>TM can deterministically monitor and manage open PAPER positions using explicit policies/rules.</w:t>
      </w:r>
    </w:p>
    <w:p>
      <w:pPr>
        <w:pStyle w:val="Heading2"/>
      </w:pPr>
      <w:r>
        <w:t>TGT3 — Exit Monitor and Position Evolution</w:t>
      </w:r>
    </w:p>
    <w:p>
      <w:pPr>
        <w:pStyle w:val="ListBullet"/>
      </w:pPr>
      <w:r>
        <w:t>Protective exits</w:t>
      </w:r>
    </w:p>
    <w:p>
      <w:pPr>
        <w:pStyle w:val="ListBullet"/>
      </w:pPr>
      <w:r>
        <w:t>Deterministic policy exits</w:t>
      </w:r>
    </w:p>
    <w:p>
      <w:pPr>
        <w:pStyle w:val="ListBullet"/>
      </w:pPr>
      <w:r>
        <w:t>Strategic/discretionary exit proposals</w:t>
      </w:r>
    </w:p>
    <w:p>
      <w:pPr>
        <w:pStyle w:val="ListBullet"/>
      </w:pPr>
      <w:r>
        <w:t>Partial exit architecture</w:t>
      </w:r>
    </w:p>
    <w:p>
      <w:pPr>
        <w:pStyle w:val="ListBullet"/>
      </w:pPr>
      <w:r>
        <w:t>Duplicate/conflicting exit suppression</w:t>
      </w:r>
    </w:p>
    <w:p>
      <w:pPr>
        <w:pStyle w:val="ListBullet"/>
      </w:pPr>
      <w:r>
        <w:t>DAY end-of-day protection</w:t>
      </w:r>
    </w:p>
    <w:p>
      <w:pPr>
        <w:pStyle w:val="ListBullet"/>
      </w:pPr>
      <w:r>
        <w:t>Deliberate DAY → BTST/STBT/POS conversion workflow where valid</w:t>
      </w:r>
    </w:p>
    <w:p>
      <w:pPr>
        <w:pStyle w:val="ListBullet"/>
      </w:pPr>
      <w:r>
        <w:t>Horizon review</w:t>
      </w:r>
    </w:p>
    <w:p>
      <w:pPr>
        <w:pStyle w:val="ListBullet"/>
      </w:pPr>
      <w:r>
        <w:t>Position remains governed by broker truth</w:t>
      </w:r>
    </w:p>
    <w:p>
      <w:pPr>
        <w:spacing w:after="200"/>
      </w:pPr>
      <w:r>
        <w:rPr>
          <w:b/>
        </w:rPr>
        <w:t xml:space="preserve">Acceptance: </w:t>
      </w:r>
      <w:r>
        <w:t>TM can move a PAPER position coherently from open exposure toward partial/full exit without duplicate actions.</w:t>
      </w:r>
    </w:p>
    <w:p>
      <w:pPr>
        <w:pStyle w:val="Heading2"/>
      </w:pPr>
      <w:r>
        <w:t>TGT4 — Exit Agents and Escalation</w:t>
      </w:r>
    </w:p>
    <w:p>
      <w:pPr>
        <w:pStyle w:val="ListBullet"/>
      </w:pPr>
      <w:r>
        <w:t>Exit Monitor may request independent Agents review for strategic/ambiguous decisions</w:t>
      </w:r>
    </w:p>
    <w:p>
      <w:pPr>
        <w:pStyle w:val="ListBullet"/>
      </w:pPr>
      <w:r>
        <w:t>Mandatory Agent verdict: APPROVE / REJECT / RETREAT_WAIT</w:t>
      </w:r>
    </w:p>
    <w:p>
      <w:pPr>
        <w:pStyle w:val="ListBullet"/>
      </w:pPr>
      <w:r>
        <w:t>Optional suggestion</w:t>
      </w:r>
    </w:p>
    <w:p>
      <w:pPr>
        <w:pStyle w:val="ListBullet"/>
      </w:pPr>
      <w:r>
        <w:t>Agent disagreement escalates to User</w:t>
      </w:r>
    </w:p>
    <w:p>
      <w:pPr>
        <w:pStyle w:val="ListBullet"/>
      </w:pPr>
      <w:r>
        <w:t>Hard RM exits bypass Agent veto/user approval in normal trade flow</w:t>
      </w:r>
    </w:p>
    <w:p>
      <w:pPr>
        <w:pStyle w:val="ListBullet"/>
      </w:pPr>
      <w:r>
        <w:t>Suggestions become new deterministic management proposals only through the owning TM domain</w:t>
      </w:r>
    </w:p>
    <w:p>
      <w:pPr>
        <w:spacing w:after="200"/>
      </w:pPr>
      <w:r>
        <w:rPr>
          <w:b/>
        </w:rPr>
        <w:t xml:space="preserve">Acceptance: </w:t>
      </w:r>
      <w:r>
        <w:t>Strategic exit intelligence can assist TM without acquiring execution authority.</w:t>
      </w:r>
    </w:p>
    <w:p>
      <w:pPr>
        <w:pStyle w:val="Heading2"/>
      </w:pPr>
      <w:r>
        <w:t>TM3 Exit Criterion</w:t>
      </w:r>
    </w:p>
    <w:p>
      <w:pPr>
        <w:spacing w:before="80" w:after="160"/>
        <w:ind w:left="360" w:right="360"/>
      </w:pPr>
      <w:r>
        <w:rPr>
          <w:b/>
          <w:i/>
        </w:rPr>
        <w:t>In PAPER mode, TM can manage a broker-confirmed or adopted position from opening through management, strategic review, partial/full exit, and broker-confirmed closure.</w:t>
      </w:r>
    </w:p>
    <w:p>
      <w:r>
        <w:br w:type="page"/>
      </w:r>
    </w:p>
    <w:p>
      <w:pPr>
        <w:pStyle w:val="Heading1"/>
      </w:pPr>
      <w:r>
        <w:t>TM4 — EXECUTION + PRODUCTION READINESS</w:t>
      </w:r>
    </w:p>
    <w:p>
      <w:pPr>
        <w:spacing w:after="240"/>
      </w:pPr>
      <w:r>
        <w:rPr>
          <w:b/>
          <w:sz w:val="22"/>
        </w:rPr>
        <w:t>GOAL</w:t>
      </w:r>
      <w:r>
        <w:br/>
        <w:t>Connect the already-proven TradeMonitor decision and management system to real broker execution through Module M, progressing from simulation to SEMI_AUTO and only later to AUTO.</w:t>
      </w:r>
    </w:p>
    <w:p>
      <w:pPr>
        <w:pStyle w:val="Heading2"/>
      </w:pPr>
      <w:r>
        <w:t>TGT1 — Module M and Broker Deployment</w:t>
      </w:r>
    </w:p>
    <w:p>
      <w:pPr>
        <w:pStyle w:val="ListBullet"/>
      </w:pPr>
      <w:r>
        <w:t>Controlled ExecutionRequest concept</w:t>
      </w:r>
    </w:p>
    <w:p>
      <w:pPr>
        <w:pStyle w:val="ListBullet"/>
      </w:pPr>
      <w:r>
        <w:t>Entry and exit both use Module M</w:t>
      </w:r>
    </w:p>
    <w:p>
      <w:pPr>
        <w:pStyle w:val="ListBullet"/>
      </w:pPr>
      <w:r>
        <w:t>Module M performs deployment only</w:t>
      </w:r>
    </w:p>
    <w:p>
      <w:pPr>
        <w:pStyle w:val="ListBullet"/>
      </w:pPr>
      <w:r>
        <w:t>Broker instrument resolution and order construction</w:t>
      </w:r>
    </w:p>
    <w:p>
      <w:pPr>
        <w:pStyle w:val="ListBullet"/>
      </w:pPr>
      <w:r>
        <w:t>Submission and acknowledgement tracking</w:t>
      </w:r>
    </w:p>
    <w:p>
      <w:pPr>
        <w:pStyle w:val="ListBullet"/>
      </w:pPr>
      <w:r>
        <w:t>Idempotency / duplicate prevention</w:t>
      </w:r>
    </w:p>
    <w:p>
      <w:pPr>
        <w:pStyle w:val="ListBullet"/>
      </w:pPr>
      <w:r>
        <w:t>Cancellation/replacement rules where justified</w:t>
      </w:r>
    </w:p>
    <w:p>
      <w:pPr>
        <w:pStyle w:val="ListBullet"/>
      </w:pPr>
      <w:r>
        <w:t>Partial fills, rejection, and uncertain execution state</w:t>
      </w:r>
    </w:p>
    <w:p>
      <w:pPr>
        <w:pStyle w:val="ListBullet"/>
      </w:pPr>
      <w:r>
        <w:t>Reconciliation back to broker truth</w:t>
      </w:r>
    </w:p>
    <w:p>
      <w:pPr>
        <w:spacing w:after="200"/>
      </w:pPr>
      <w:r>
        <w:rPr>
          <w:b/>
        </w:rPr>
        <w:t xml:space="preserve">Acceptance: </w:t>
      </w:r>
      <w:r>
        <w:t>The same authorized execution intent cannot accidentally become duplicate broker exposure because of retry/restart behavior.</w:t>
      </w:r>
    </w:p>
    <w:p>
      <w:pPr>
        <w:pStyle w:val="Heading2"/>
      </w:pPr>
      <w:r>
        <w:t>TGT2 — Execution Simulation, Replay, and Failure Injection</w:t>
      </w:r>
    </w:p>
    <w:p>
      <w:pPr>
        <w:pStyle w:val="ListBullet"/>
      </w:pPr>
      <w:r>
        <w:t>Mock broker / broker simulator</w:t>
      </w:r>
    </w:p>
    <w:p>
      <w:pPr>
        <w:pStyle w:val="ListBullet"/>
      </w:pPr>
      <w:r>
        <w:t>Crash after submit but before acknowledgement</w:t>
      </w:r>
    </w:p>
    <w:p>
      <w:pPr>
        <w:pStyle w:val="ListBullet"/>
      </w:pPr>
      <w:r>
        <w:t>Restart with pending order</w:t>
      </w:r>
    </w:p>
    <w:p>
      <w:pPr>
        <w:pStyle w:val="ListBullet"/>
      </w:pPr>
      <w:r>
        <w:t>Partial fill / reject / disconnect</w:t>
      </w:r>
    </w:p>
    <w:p>
      <w:pPr>
        <w:pStyle w:val="ListBullet"/>
      </w:pPr>
      <w:r>
        <w:t>Stale market data</w:t>
      </w:r>
    </w:p>
    <w:p>
      <w:pPr>
        <w:pStyle w:val="ListBullet"/>
      </w:pPr>
      <w:r>
        <w:t>Broker reconciliation delay</w:t>
      </w:r>
    </w:p>
    <w:p>
      <w:pPr>
        <w:pStyle w:val="ListBullet"/>
      </w:pPr>
      <w:r>
        <w:t>Concurrent exit triggers</w:t>
      </w:r>
    </w:p>
    <w:p>
      <w:pPr>
        <w:pStyle w:val="ListBullet"/>
      </w:pPr>
      <w:r>
        <w:t>Replay of end-to-end trading sessions</w:t>
      </w:r>
    </w:p>
    <w:p>
      <w:pPr>
        <w:pStyle w:val="ListBullet"/>
      </w:pPr>
      <w:r>
        <w:t>Verify nothing creating risk reaches M without current RM permission</w:t>
      </w:r>
    </w:p>
    <w:p>
      <w:pPr>
        <w:spacing w:after="200"/>
      </w:pPr>
      <w:r>
        <w:rPr>
          <w:b/>
        </w:rPr>
        <w:t xml:space="preserve">Acceptance: </w:t>
      </w:r>
      <w:r>
        <w:t>Critical execution/recovery scenarios are reproducible and pass consistently before enabling real broker writes.</w:t>
      </w:r>
    </w:p>
    <w:p>
      <w:pPr>
        <w:pStyle w:val="Heading2"/>
      </w:pPr>
      <w:r>
        <w:t>TGT3 — SEMI_AUTO Controlled Forward Test</w:t>
      </w:r>
    </w:p>
    <w:p>
      <w:pPr>
        <w:pStyle w:val="ListBullet"/>
      </w:pPr>
      <w:r>
        <w:t>Real broker execution</w:t>
      </w:r>
    </w:p>
    <w:p>
      <w:pPr>
        <w:pStyle w:val="ListBullet"/>
      </w:pPr>
      <w:r>
        <w:t>Explicit operator confirmations at configured discretionary points</w:t>
      </w:r>
    </w:p>
    <w:p>
      <w:pPr>
        <w:pStyle w:val="ListBullet"/>
      </w:pPr>
      <w:r>
        <w:t>RM remains automatic and above User</w:t>
      </w:r>
    </w:p>
    <w:p>
      <w:pPr>
        <w:pStyle w:val="ListBullet"/>
      </w:pPr>
      <w:r>
        <w:t>Agent disagreements escalate to User</w:t>
      </w:r>
    </w:p>
    <w:p>
      <w:pPr>
        <w:pStyle w:val="ListBullet"/>
      </w:pPr>
      <w:r>
        <w:t>Very small controlled exposure</w:t>
      </w:r>
    </w:p>
    <w:p>
      <w:pPr>
        <w:pStyle w:val="ListBullet"/>
      </w:pPr>
      <w:r>
        <w:t>Detailed audit review after each session/trade</w:t>
      </w:r>
    </w:p>
    <w:p>
      <w:pPr>
        <w:pStyle w:val="ListBullet"/>
      </w:pPr>
      <w:r>
        <w:t>No leap to AUTO based merely on code completeness</w:t>
      </w:r>
    </w:p>
    <w:p>
      <w:pPr>
        <w:spacing w:after="200"/>
      </w:pPr>
      <w:r>
        <w:rPr>
          <w:b/>
        </w:rPr>
        <w:t xml:space="preserve">Acceptance: </w:t>
      </w:r>
      <w:r>
        <w:t>Real execution behavior matches TM decisions and broker truth reliably under controlled conditions.</w:t>
      </w:r>
    </w:p>
    <w:p>
      <w:pPr>
        <w:pStyle w:val="Heading2"/>
      </w:pPr>
      <w:r>
        <w:t>TGT4 — AUTO Readiness</w:t>
      </w:r>
    </w:p>
    <w:p>
      <w:pPr>
        <w:pStyle w:val="ListBullet"/>
      </w:pPr>
      <w:r>
        <w:t>Sufficient SEMI_AUTO evidence</w:t>
      </w:r>
    </w:p>
    <w:p>
      <w:pPr>
        <w:pStyle w:val="ListBullet"/>
      </w:pPr>
      <w:r>
        <w:t>No unresolved reconciliation defects</w:t>
      </w:r>
    </w:p>
    <w:p>
      <w:pPr>
        <w:pStyle w:val="ListBullet"/>
      </w:pPr>
      <w:r>
        <w:t>No duplicate execution defects</w:t>
      </w:r>
    </w:p>
    <w:p>
      <w:pPr>
        <w:pStyle w:val="ListBullet"/>
      </w:pPr>
      <w:r>
        <w:t>Reliable restart/recovery</w:t>
      </w:r>
    </w:p>
    <w:p>
      <w:pPr>
        <w:pStyle w:val="ListBullet"/>
      </w:pPr>
      <w:r>
        <w:t>RM proven operationally</w:t>
      </w:r>
    </w:p>
    <w:p>
      <w:pPr>
        <w:pStyle w:val="ListBullet"/>
      </w:pPr>
      <w:r>
        <w:t>Position/Exit behavior validated</w:t>
      </w:r>
    </w:p>
    <w:p>
      <w:pPr>
        <w:pStyle w:val="ListBullet"/>
      </w:pPr>
      <w:r>
        <w:t>Agent degradation behavior validated</w:t>
      </w:r>
    </w:p>
    <w:p>
      <w:pPr>
        <w:pStyle w:val="ListBullet"/>
      </w:pPr>
      <w:r>
        <w:t>Clear operating safeguards</w:t>
      </w:r>
    </w:p>
    <w:p>
      <w:pPr>
        <w:pStyle w:val="ListBullet"/>
      </w:pPr>
      <w:r>
        <w:t>Explicit decision to enable AUTO</w:t>
      </w:r>
    </w:p>
    <w:p>
      <w:pPr>
        <w:spacing w:after="200"/>
      </w:pPr>
      <w:r>
        <w:rPr>
          <w:b/>
        </w:rPr>
        <w:t xml:space="preserve">Acceptance: </w:t>
      </w:r>
      <w:r>
        <w:t>AUTO is enabled only when evidence justifies it; it is a readiness gate, not an automatic entitlement.</w:t>
      </w:r>
    </w:p>
    <w:p>
      <w:pPr>
        <w:pStyle w:val="Heading2"/>
      </w:pPr>
      <w:r>
        <w:t>TM4 Exit Criterion</w:t>
      </w:r>
    </w:p>
    <w:p>
      <w:pPr>
        <w:spacing w:before="80" w:after="160"/>
        <w:ind w:left="360" w:right="360"/>
      </w:pPr>
      <w:r>
        <w:rPr>
          <w:b/>
          <w:i/>
        </w:rPr>
        <w:t>TradeMonitor is production-ready for the level of autonomy that has been empirically validated. AUTO is enabled only when evidence justifies it.</w:t>
      </w:r>
    </w:p>
    <w:p>
      <w:r>
        <w:br w:type="page"/>
      </w:r>
    </w:p>
    <w:p>
      <w:pPr>
        <w:pStyle w:val="Heading1"/>
      </w:pPr>
      <w:r>
        <w:t>3. Milestone Progression Rule</w:t>
      </w:r>
    </w:p>
    <w:p>
      <w:pPr>
        <w:spacing w:after="80"/>
      </w:pPr>
      <w:r>
        <w:rPr>
          <w:b w:val="0"/>
          <w:i w:val="0"/>
        </w:rPr>
        <w:t>A later milestone may be prototyped experimentally, but it must not bypass the safety dependency of an earlier milestone.</w:t>
      </w:r>
    </w:p>
    <w:p>
      <w:pPr>
        <w:jc w:val="center"/>
      </w:pPr>
      <w:r>
        <w:rPr>
          <w:b/>
          <w:sz w:val="26"/>
        </w:rPr>
        <w:t>TM1 Reality  →  TM2 Entry Decision  →  TM3 Position Management  →  TM4 Real Execution</w:t>
      </w:r>
    </w:p>
    <w:p>
      <w:pPr>
        <w:spacing w:after="80"/>
      </w:pPr>
      <w:r>
        <w:rPr>
          <w:b w:val="0"/>
          <w:i w:val="0"/>
        </w:rPr>
        <w:t>The roadmap is intentionally asymmetric: understanding and managing reality comes before creating live risk.</w:t>
      </w:r>
    </w:p>
    <w:p>
      <w:pPr>
        <w:pStyle w:val="Heading1"/>
      </w:pPr>
      <w:r>
        <w:t>4. Preservation and Change Control</w:t>
      </w:r>
    </w:p>
    <w:p>
      <w:pPr>
        <w:pStyle w:val="ListBullet"/>
      </w:pPr>
      <w:r>
        <w:t>Keep this roadmap in the repository docs/ folder and refer to it together with the TM0 Architecture Thesis.</w:t>
      </w:r>
    </w:p>
    <w:p>
      <w:pPr>
        <w:pStyle w:val="ListBullet"/>
      </w:pPr>
      <w:r>
        <w:t>Changes should be deliberate. If implementation exposes a genuine architectural need, update the roadmap and record why.</w:t>
      </w:r>
    </w:p>
    <w:p>
      <w:pPr>
        <w:pStyle w:val="ListBullet"/>
      </w:pPr>
      <w:r>
        <w:t>Do not silently redefine the meaning of an accepted milestone or TGT.</w:t>
      </w:r>
    </w:p>
    <w:p>
      <w:pPr>
        <w:pStyle w:val="ListBullet"/>
      </w:pPr>
      <w:r>
        <w:t>Each accepted TGT should ideally become a known-good checkpoint through commit/tag or equivalent release discipline.</w:t>
      </w:r>
    </w:p>
    <w:p>
      <w:pPr>
        <w:pStyle w:val="ListBullet"/>
      </w:pPr>
      <w:r>
        <w:t>Some semantics may evolve as implementation teaches us more; evolution is allowed, but it must remain coherent with the thesis or explicitly revise it.</w:t>
      </w:r>
    </w:p>
    <w:p>
      <w:pPr>
        <w:pStyle w:val="Heading1"/>
      </w:pPr>
      <w:r>
        <w:t>5. Reference Map</w:t>
      </w:r>
    </w:p>
    <w:p>
      <w:pPr>
        <w:spacing w:after="160"/>
      </w:pPr>
      <w:r>
        <w:rPr>
          <w:b/>
        </w:rPr>
        <w:t>TM1 — KNOW REALITY</w:t>
        <w:br/>
      </w:r>
      <w:r>
        <w:t>Build the core, contexts, broker reconciliation, health, persistence, recovery, and PAPER runtime.</w:t>
      </w:r>
    </w:p>
    <w:p>
      <w:pPr>
        <w:spacing w:after="160"/>
      </w:pPr>
      <w:r>
        <w:rPr>
          <w:b/>
        </w:rPr>
        <w:t>TM2 — DECIDE ENTRY</w:t>
        <w:br/>
      </w:r>
      <w:r>
        <w:t>Intake opportunities, handle source/outcome/time relevance, validate entries, consult Agents, and enforce RM.</w:t>
      </w:r>
    </w:p>
    <w:p>
      <w:pPr>
        <w:spacing w:after="160"/>
      </w:pPr>
      <w:r>
        <w:rPr>
          <w:b/>
        </w:rPr>
        <w:t>TM3 — MANAGE POSITION</w:t>
        <w:br/>
      </w:r>
      <w:r>
        <w:t>Adopt/manage positions, apply rules, monitor exits, and use independent strategic review where appropriate.</w:t>
      </w:r>
    </w:p>
    <w:p>
      <w:pPr>
        <w:spacing w:after="160"/>
      </w:pPr>
      <w:r>
        <w:rPr>
          <w:b/>
        </w:rPr>
        <w:t>TM4 — EXECUTE FOR REAL</w:t>
        <w:br/>
      </w:r>
      <w:r>
        <w:t>Deploy through Module M, prove recovery/idempotency, and progress PAPER → SEMI_AUTO → AUTO only with evidence.</w:t>
      </w:r>
    </w:p>
    <w:p>
      <w:pPr>
        <w:spacing w:before="400" w:after="160"/>
        <w:jc w:val="center"/>
      </w:pPr>
      <w:r>
        <w:rPr>
          <w:b/>
          <w:i/>
          <w:sz w:val="26"/>
        </w:rPr>
        <w:t>“Nothing creating risk reaches Module M without current Risk Management permission.”</w:t>
      </w:r>
    </w:p>
    <w:p>
      <w:pPr>
        <w:spacing w:after="80"/>
        <w:jc w:val="center"/>
      </w:pPr>
      <w:r>
        <w:rPr>
          <w:b w:val="0"/>
          <w:i/>
          <w:sz w:val="18"/>
        </w:rPr>
        <w:t>Read this roadmap together with the TradeMonitor TM0 Architecture Thesis.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Canonical project map • Refer with TM0 Architecture Thesis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TradeMonitor — Development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