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Trading Intelligence Agent Fabric</w:t>
      </w:r>
    </w:p>
    <w:p>
      <w:pPr>
        <w:jc w:val="center"/>
      </w:pPr>
      <w:r>
        <w:rPr>
          <w:b/>
          <w:sz w:val="36"/>
        </w:rPr>
        <w:t>TIAF</w:t>
      </w:r>
    </w:p>
    <w:p>
      <w:pPr>
        <w:jc w:val="center"/>
      </w:pPr>
      <w:r>
        <w:rPr>
          <w:sz w:val="28"/>
        </w:rPr>
        <w:t>Architecture and Implementation Thesis for</w:t>
        <w:br/>
        <w:t>Opportunity Selection, Option Expression, and Position Management</w:t>
      </w:r>
    </w:p>
    <w:p/>
    <w:p>
      <w:pPr>
        <w:jc w:val="center"/>
      </w:pPr>
      <w:r>
        <w:rPr>
          <w:i/>
          <w:sz w:val="21"/>
        </w:rPr>
        <w:t>Designed as the intelligence subsystem serving TradeMonitor, Day Scanner, Positional Scanner, and future third-party integrations.</w:t>
      </w:r>
    </w:p>
    <w:p/>
    <w:p>
      <w:pPr>
        <w:jc w:val="center"/>
      </w:pPr>
      <w:r>
        <w:rPr>
          <w:b/>
        </w:rPr>
        <w:t>Status: Implementation-ready architectural thesis</w:t>
      </w:r>
    </w:p>
    <w:p>
      <w:pPr>
        <w:jc w:val="center"/>
      </w:pPr>
      <w:r>
        <w:t>Date: 5 September 2026</w:t>
      </w:r>
    </w:p>
    <w:p>
      <w:r>
        <w:br w:type="page"/>
      </w:r>
    </w:p>
    <w:p>
      <w:pPr>
        <w:pStyle w:val="Heading1"/>
      </w:pPr>
      <w:r>
        <w:t>1. Executive Thesis</w:t>
      </w:r>
    </w:p>
    <w:p>
      <w:r>
        <w:t>TIAF is a reusable multi-agent market-intelligence service. Its purpose is not to be a broker, not to be TradeMonitor, and not to reproduce a conventional strategy engine. Its purpose is to supply forward-looking, evidence-based trading intelligence to other systems.</w:t>
      </w:r>
    </w:p>
    <w:p>
      <w:r>
        <w:t>The system has two primary missions. First, it identifies and ranks the best opportunities from a supplied F&amp;O universe for a requested trading style and horizon. Second, it continuously evaluates already-open positions and recommends whether to hold, protect, partially book, book, or exit.</w:t>
      </w:r>
    </w:p>
    <w:p>
      <w:r>
        <w:t>The minimum valid input can be only a list of F&amp;O symbols. Any spreadsheet columns, indicators, Greeks, OHLCV, volume ratios, scores, or histories are optional enrichment. When absent, TIAF is responsible for obtaining and deriving the data it needs through data providers such as Dhan, Zerodha, public information sources, and deterministic feature calculation.</w:t>
      </w:r>
    </w:p>
    <w:p>
      <w:r>
        <w:t>The design assumption is that intelligence is probabilistic and fallible, while account safety and execution authority are deterministic responsibilities of TradeMonitor. Agents advise; TradeMonitor governs.</w:t>
      </w:r>
    </w:p>
    <w:p>
      <w:pPr>
        <w:pStyle w:val="Heading1"/>
      </w:pPr>
      <w:r>
        <w:t>2. The Core System Boundary</w:t>
      </w:r>
    </w:p>
    <w:p>
      <w:pPr>
        <w:pStyle w:val="CodeCompact"/>
      </w:pPr>
      <w:r>
        <w:t>Scanners / Manual Inputs / Third-party Intelligence</w:t>
        <w:br/>
        <w:t xml:space="preserve">                    |</w:t>
        <w:br/>
        <w:t xml:space="preserve">                    v</w:t>
        <w:br/>
        <w:t xml:space="preserve">         Trading Intelligence Agent Fabric</w:t>
        <w:br/>
        <w:t xml:space="preserve">                    |</w:t>
        <w:br/>
        <w:t xml:space="preserve">          structured advice / rankings</w:t>
        <w:br/>
        <w:t xml:space="preserve">                    |</w:t>
        <w:br/>
        <w:t xml:space="preserve">                    v</w:t>
        <w:br/>
        <w:t xml:space="preserve">               TradeMonitor</w:t>
        <w:br/>
        <w:t xml:space="preserve">   risk + authority + lifecycle + execution</w:t>
        <w:br/>
        <w:t xml:space="preserve">                    |</w:t>
        <w:br/>
        <w:t xml:space="preserve">                    v</w:t>
        <w:br/>
        <w:t xml:space="preserve">                  Broker</w:t>
      </w:r>
    </w:p>
    <w:p>
      <w:r>
        <w:t>This boundary is deliberate. A scanner may discover, an agent may reason, and a third party may provide alpha, but none of them should bypass TradeMonitor to place broker orders. The broker remains the source of factual position and execution truth.</w:t>
      </w:r>
    </w:p>
    <w:p>
      <w:pPr>
        <w:pStyle w:val="Heading1"/>
      </w:pPr>
      <w:r>
        <w:t>3. Design Principles</w:t>
      </w:r>
    </w:p>
    <w:p>
      <w:pPr>
        <w:pStyle w:val="ListBullet"/>
        <w:spacing w:after="20"/>
      </w:pPr>
      <w:r>
        <w:t>Intelligence is pluggable; authority is centralized.</w:t>
      </w:r>
    </w:p>
    <w:p>
      <w:pPr>
        <w:pStyle w:val="ListBullet"/>
        <w:spacing w:after="20"/>
      </w:pPr>
      <w:r>
        <w:t>Broker truth outranks internal assumptions.</w:t>
      </w:r>
    </w:p>
    <w:p>
      <w:pPr>
        <w:pStyle w:val="ListBullet"/>
        <w:spacing w:after="20"/>
      </w:pPr>
      <w:r>
        <w:t>A watchlist alone is sufficient input; enrichment is optional.</w:t>
      </w:r>
    </w:p>
    <w:p>
      <w:pPr>
        <w:pStyle w:val="ListBullet"/>
        <w:spacing w:after="20"/>
      </w:pPr>
      <w:r>
        <w:t>Deterministic computation should not be delegated to an LLM.</w:t>
      </w:r>
    </w:p>
    <w:p>
      <w:pPr>
        <w:pStyle w:val="ListBullet"/>
        <w:spacing w:after="20"/>
      </w:pPr>
      <w:r>
        <w:t>AI is used where judgment, ambiguity, context, synthesis, and competing interpretations matter.</w:t>
      </w:r>
    </w:p>
    <w:p>
      <w:pPr>
        <w:pStyle w:val="ListBullet"/>
        <w:spacing w:after="20"/>
      </w:pPr>
      <w:r>
        <w:t>No single agent is trusted as an oracle; important decisions invite challenge and disagreement.</w:t>
      </w:r>
    </w:p>
    <w:p>
      <w:pPr>
        <w:pStyle w:val="ListBullet"/>
        <w:spacing w:after="20"/>
      </w:pPr>
      <w:r>
        <w:t>Time horizon is a first-class input. A stock can be bullish intraday and bearish positionally.</w:t>
      </w:r>
    </w:p>
    <w:p>
      <w:pPr>
        <w:pStyle w:val="ListBullet"/>
        <w:spacing w:after="20"/>
      </w:pPr>
      <w:r>
        <w:t>The system must be able to return NO TRADE rather than manufacture five recommendations.</w:t>
      </w:r>
    </w:p>
    <w:p>
      <w:pPr>
        <w:pStyle w:val="ListBullet"/>
        <w:spacing w:after="20"/>
      </w:pPr>
      <w:r>
        <w:t>Every recommendation must be timestamped, attributable, reproducible enough to audit, and later scoreable.</w:t>
      </w:r>
    </w:p>
    <w:p>
      <w:pPr>
        <w:pStyle w:val="ListBullet"/>
        <w:spacing w:after="20"/>
      </w:pPr>
      <w:r>
        <w:t>Position management is forward-looking. For an adopted position, original entry rationale is optional and never mandatory.</w:t>
      </w:r>
    </w:p>
    <w:p>
      <w:pPr>
        <w:pStyle w:val="ListBullet"/>
        <w:spacing w:after="20"/>
      </w:pPr>
      <w:r>
        <w:t>Agent intelligence may improve profitability; deterministic safeguards must protect the account if agents fail.</w:t>
      </w:r>
    </w:p>
    <w:p>
      <w:pPr>
        <w:pStyle w:val="Heading1"/>
      </w:pPr>
      <w:r>
        <w:t>4. Primary Consumers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EAF7"/>
          </w:tcPr>
          <w:p>
            <w:r/>
            <w:r>
              <w:rPr>
                <w:rFonts w:ascii="Aptos" w:hAnsi="Aptos"/>
                <w:b/>
                <w:sz w:val="17"/>
              </w:rPr>
              <w:t>Consumer</w:t>
            </w:r>
          </w:p>
        </w:tc>
        <w:tc>
          <w:tcPr>
            <w:tcW w:type="dxa" w:w="8064"/>
            <w:vAlign w:val="center"/>
            <w:shd w:fill="D9EAF7"/>
          </w:tcPr>
          <w:p>
            <w:r/>
            <w:r>
              <w:rPr>
                <w:rFonts w:ascii="Aptos" w:hAnsi="Aptos"/>
                <w:b/>
                <w:sz w:val="17"/>
              </w:rPr>
              <w:t>Role of TIAF</w:t>
            </w:r>
          </w:p>
        </w:tc>
      </w:tr>
      <w:tr>
        <w:tc>
          <w:tcPr>
            <w:tcW w:type="dxa" w:w="2304"/>
            <w:vAlign w:val="center"/>
          </w:tcPr>
          <w:p>
            <w:r/>
            <w:r>
              <w:rPr>
                <w:rFonts w:ascii="Aptos" w:hAnsi="Aptos"/>
                <w:b w:val="0"/>
                <w:sz w:val="17"/>
              </w:rPr>
              <w:t>TradeMonitor</w:t>
            </w:r>
          </w:p>
        </w:tc>
        <w:tc>
          <w:tcPr>
            <w:tcW w:type="dxa" w:w="8064"/>
            <w:vAlign w:val="center"/>
          </w:tcPr>
          <w:p>
            <w:r/>
            <w:r>
              <w:rPr>
                <w:rFonts w:ascii="Aptos" w:hAnsi="Aptos"/>
                <w:b w:val="0"/>
                <w:sz w:val="17"/>
              </w:rPr>
              <w:t>Position-management intelligence, exit/protection advice, candidate enrichment, reassessment.</w:t>
            </w:r>
          </w:p>
        </w:tc>
      </w:tr>
      <w:tr>
        <w:tc>
          <w:tcPr>
            <w:tcW w:type="dxa" w:w="2304"/>
            <w:vAlign w:val="center"/>
          </w:tcPr>
          <w:p>
            <w:r/>
            <w:r>
              <w:rPr>
                <w:rFonts w:ascii="Aptos" w:hAnsi="Aptos"/>
                <w:b w:val="0"/>
                <w:sz w:val="17"/>
              </w:rPr>
              <w:t>Day Scanner</w:t>
            </w:r>
          </w:p>
        </w:tc>
        <w:tc>
          <w:tcPr>
            <w:tcW w:type="dxa" w:w="8064"/>
            <w:vAlign w:val="center"/>
          </w:tcPr>
          <w:p>
            <w:r/>
            <w:r>
              <w:rPr>
                <w:rFonts w:ascii="Aptos" w:hAnsi="Aptos"/>
                <w:b w:val="0"/>
                <w:sz w:val="17"/>
              </w:rPr>
              <w:t>Early-opportunity intelligence: find likely future leaders/laggards, not merely current movers.</w:t>
            </w:r>
          </w:p>
        </w:tc>
      </w:tr>
      <w:tr>
        <w:tc>
          <w:tcPr>
            <w:tcW w:type="dxa" w:w="2304"/>
            <w:vAlign w:val="center"/>
          </w:tcPr>
          <w:p>
            <w:r/>
            <w:r>
              <w:rPr>
                <w:rFonts w:ascii="Aptos" w:hAnsi="Aptos"/>
                <w:b w:val="0"/>
                <w:sz w:val="17"/>
              </w:rPr>
              <w:t>Positional Scanner</w:t>
            </w:r>
          </w:p>
        </w:tc>
        <w:tc>
          <w:tcPr>
            <w:tcW w:type="dxa" w:w="8064"/>
            <w:vAlign w:val="center"/>
          </w:tcPr>
          <w:p>
            <w:r/>
            <w:r>
              <w:rPr>
                <w:rFonts w:ascii="Aptos" w:hAnsi="Aptos"/>
                <w:b w:val="0"/>
                <w:sz w:val="17"/>
              </w:rPr>
              <w:t>Multi-day / multi-week opportunity ranking, cycle/fundamental/sector-aware bias.</w:t>
            </w:r>
          </w:p>
        </w:tc>
      </w:tr>
      <w:tr>
        <w:tc>
          <w:tcPr>
            <w:tcW w:type="dxa" w:w="2304"/>
            <w:vAlign w:val="center"/>
          </w:tcPr>
          <w:p>
            <w:r/>
            <w:r>
              <w:rPr>
                <w:rFonts w:ascii="Aptos" w:hAnsi="Aptos"/>
                <w:b w:val="0"/>
                <w:sz w:val="17"/>
              </w:rPr>
              <w:t>Google Sheet</w:t>
            </w:r>
          </w:p>
        </w:tc>
        <w:tc>
          <w:tcPr>
            <w:tcW w:type="dxa" w:w="8064"/>
            <w:vAlign w:val="center"/>
          </w:tcPr>
          <w:p>
            <w:r/>
            <w:r>
              <w:rPr>
                <w:rFonts w:ascii="Aptos" w:hAnsi="Aptos"/>
                <w:b w:val="0"/>
                <w:sz w:val="17"/>
              </w:rPr>
              <w:t>Human-facing front control room consuming rankings, evidence, confidence and state.</w:t>
            </w:r>
          </w:p>
        </w:tc>
      </w:tr>
      <w:tr>
        <w:tc>
          <w:tcPr>
            <w:tcW w:type="dxa" w:w="2304"/>
            <w:vAlign w:val="center"/>
          </w:tcPr>
          <w:p>
            <w:r/>
            <w:r>
              <w:rPr>
                <w:rFonts w:ascii="Aptos" w:hAnsi="Aptos"/>
                <w:b w:val="0"/>
                <w:sz w:val="17"/>
              </w:rPr>
              <w:t>Third-party systems</w:t>
            </w:r>
          </w:p>
        </w:tc>
        <w:tc>
          <w:tcPr>
            <w:tcW w:type="dxa" w:w="8064"/>
            <w:vAlign w:val="center"/>
          </w:tcPr>
          <w:p>
            <w:r/>
            <w:r>
              <w:rPr>
                <w:rFonts w:ascii="Aptos" w:hAnsi="Aptos"/>
                <w:b w:val="0"/>
                <w:sz w:val="17"/>
              </w:rPr>
              <w:t>Can submit candidates/signals and consume normalized TIAF assessments.</w:t>
            </w:r>
          </w:p>
        </w:tc>
      </w:tr>
    </w:tbl>
    <w:p>
      <w:pPr>
        <w:spacing w:after="40"/>
      </w:pPr>
    </w:p>
    <w:p>
      <w:pPr>
        <w:pStyle w:val="Heading1"/>
      </w:pPr>
      <w:r>
        <w:t>5. Mission A — Opportunity Intelligence</w:t>
      </w:r>
    </w:p>
    <w:p>
      <w:r>
        <w:t>Given an F&amp;O universe, a direction policy, a trading style, and a horizon, TIAF should identify the strongest forward opportunities rather than merely rank stocks by what has already happened.</w:t>
      </w:r>
    </w:p>
    <w:p>
      <w:pPr>
        <w:pStyle w:val="CodeCompact"/>
      </w:pPr>
      <w:r>
        <w:t>Input example</w:t>
        <w:br/>
        <w:t>-------------</w:t>
        <w:br/>
        <w:t>Universe   : [RELIANCE, KAYNES, BSE, MCX, KEI, ...]</w:t>
        <w:br/>
        <w:t>Style      : DAY</w:t>
        <w:br/>
        <w:t>Horizon    : today</w:t>
        <w:br/>
        <w:t>Direction  : BOTH</w:t>
        <w:br/>
        <w:t>Top N      : 5</w:t>
        <w:br/>
        <w:br/>
        <w:t>Output goal</w:t>
        <w:br/>
        <w:t>-----------</w:t>
        <w:br/>
        <w:t>Best fresh opportunities where meaningful move may still be ahead,</w:t>
        <w:br/>
        <w:t>including CE, PE, WAIT and NO-TRADE conclusions.</w:t>
      </w:r>
    </w:p>
    <w:p>
      <w:r>
        <w:t>This is specifically intended to solve the 'surface scanner' problem: a stock already +4.5% is obviously strong, but the more valuable candidate may be a stock only +0.8% whose relative strength, volume acceleration, sector participation, structure and catalyst indicate that a +3% to +8% move may still be developing.</w:t>
      </w:r>
    </w:p>
    <w:p>
      <w:pPr>
        <w:pStyle w:val="Heading1"/>
      </w:pPr>
      <w:r>
        <w:t>6. Mission B — Position Intelligence</w:t>
      </w:r>
    </w:p>
    <w:p>
      <w:r>
        <w:t>For an adopted broker position, the system asks one central question: "If I owned this position right now, should I continue owning it?"</w:t>
      </w:r>
    </w:p>
    <w:p>
      <w:pPr>
        <w:pStyle w:val="CodeCompact"/>
      </w:pPr>
      <w:r>
        <w:t>BROKER_EXTERNAL</w:t>
        <w:br/>
        <w:t xml:space="preserve">      |</w:t>
        <w:br/>
        <w:t xml:space="preserve">    ADOPT</w:t>
        <w:br/>
        <w:t xml:space="preserve">      |</w:t>
        <w:br/>
        <w:t xml:space="preserve">      v</w:t>
        <w:br/>
        <w:t>CURRENT-STATE ANALYSIS</w:t>
        <w:br/>
        <w:t xml:space="preserve">      |</w:t>
        <w:br/>
        <w:t xml:space="preserve">      v</w:t>
        <w:br/>
        <w:t>HOLD / WATCH_CLOSELY / PROTECT / PARTIAL_BOOK / BOOK / EXIT</w:t>
        <w:br/>
        <w:t xml:space="preserve">      |</w:t>
        <w:br/>
        <w:t xml:space="preserve">      v</w:t>
        <w:br/>
        <w:t>reassess as market reality changes</w:t>
      </w:r>
    </w:p>
    <w:p>
      <w:r>
        <w:t>The agent service does not need to reconstruct why the trade was originally taken. The relevant state begins at adoption. For example, a fundamentally strong cable company may still deserve an urgent exit recommendation if a new policy, commodity shock, industry event, sector breakdown, or company-specific event materially changes forward risk.</w:t>
      </w:r>
    </w:p>
    <w:p>
      <w:pPr>
        <w:pStyle w:val="Heading1"/>
      </w:pPr>
      <w:r>
        <w:t>7. Time Horizon as a First-Class Variable</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D9EAF7"/>
          </w:tcPr>
          <w:p>
            <w:r/>
            <w:r>
              <w:rPr>
                <w:rFonts w:ascii="Aptos" w:hAnsi="Aptos"/>
                <w:b/>
                <w:sz w:val="17"/>
              </w:rPr>
              <w:t>Horizon</w:t>
            </w:r>
          </w:p>
        </w:tc>
        <w:tc>
          <w:tcPr>
            <w:tcW w:type="dxa" w:w="6480"/>
            <w:vAlign w:val="center"/>
            <w:shd w:fill="D9EAF7"/>
          </w:tcPr>
          <w:p>
            <w:r/>
            <w:r>
              <w:rPr>
                <w:rFonts w:ascii="Aptos" w:hAnsi="Aptos"/>
                <w:b/>
                <w:sz w:val="17"/>
              </w:rPr>
              <w:t>Dominant Evidence</w:t>
            </w:r>
          </w:p>
        </w:tc>
        <w:tc>
          <w:tcPr>
            <w:tcW w:type="dxa" w:w="2880"/>
            <w:vAlign w:val="center"/>
            <w:shd w:fill="D9EAF7"/>
          </w:tcPr>
          <w:p>
            <w:r/>
            <w:r>
              <w:rPr>
                <w:rFonts w:ascii="Aptos" w:hAnsi="Aptos"/>
                <w:b/>
                <w:sz w:val="17"/>
              </w:rPr>
              <w:t>Typical Reassessment</w:t>
            </w:r>
          </w:p>
        </w:tc>
      </w:tr>
      <w:tr>
        <w:tc>
          <w:tcPr>
            <w:tcW w:type="dxa" w:w="1728"/>
            <w:vAlign w:val="center"/>
          </w:tcPr>
          <w:p>
            <w:r/>
            <w:r>
              <w:rPr>
                <w:rFonts w:ascii="Aptos" w:hAnsi="Aptos"/>
                <w:b w:val="0"/>
                <w:sz w:val="17"/>
              </w:rPr>
              <w:t>Intraday</w:t>
            </w:r>
          </w:p>
        </w:tc>
        <w:tc>
          <w:tcPr>
            <w:tcW w:type="dxa" w:w="6480"/>
            <w:vAlign w:val="center"/>
          </w:tcPr>
          <w:p>
            <w:r/>
            <w:r>
              <w:rPr>
                <w:rFonts w:ascii="Aptos" w:hAnsi="Aptos"/>
                <w:b w:val="0"/>
                <w:sz w:val="17"/>
              </w:rPr>
              <w:t>Market regime, intraday structure, relative volume, VWAP/levels, sector strength, news, range consumption.</w:t>
            </w:r>
          </w:p>
        </w:tc>
        <w:tc>
          <w:tcPr>
            <w:tcW w:type="dxa" w:w="2880"/>
            <w:vAlign w:val="center"/>
          </w:tcPr>
          <w:p>
            <w:r/>
            <w:r>
              <w:rPr>
                <w:rFonts w:ascii="Aptos" w:hAnsi="Aptos"/>
                <w:b w:val="0"/>
                <w:sz w:val="17"/>
              </w:rPr>
              <w:t>Minutes / material event / structure change</w:t>
            </w:r>
          </w:p>
        </w:tc>
      </w:tr>
      <w:tr>
        <w:tc>
          <w:tcPr>
            <w:tcW w:type="dxa" w:w="1728"/>
            <w:vAlign w:val="center"/>
          </w:tcPr>
          <w:p>
            <w:r/>
            <w:r>
              <w:rPr>
                <w:rFonts w:ascii="Aptos" w:hAnsi="Aptos"/>
                <w:b w:val="0"/>
                <w:sz w:val="17"/>
              </w:rPr>
              <w:t>2–5 days</w:t>
            </w:r>
          </w:p>
        </w:tc>
        <w:tc>
          <w:tcPr>
            <w:tcW w:type="dxa" w:w="6480"/>
            <w:vAlign w:val="center"/>
          </w:tcPr>
          <w:p>
            <w:r/>
            <w:r>
              <w:rPr>
                <w:rFonts w:ascii="Aptos" w:hAnsi="Aptos"/>
                <w:b w:val="0"/>
                <w:sz w:val="17"/>
              </w:rPr>
              <w:t>Daily structure, swing momentum, sector rotation, catalyst, event risk, derivatives positioning.</w:t>
            </w:r>
          </w:p>
        </w:tc>
        <w:tc>
          <w:tcPr>
            <w:tcW w:type="dxa" w:w="2880"/>
            <w:vAlign w:val="center"/>
          </w:tcPr>
          <w:p>
            <w:r/>
            <w:r>
              <w:rPr>
                <w:rFonts w:ascii="Aptos" w:hAnsi="Aptos"/>
                <w:b w:val="0"/>
                <w:sz w:val="17"/>
              </w:rPr>
              <w:t>Hourly / daily / event</w:t>
            </w:r>
          </w:p>
        </w:tc>
      </w:tr>
      <w:tr>
        <w:tc>
          <w:tcPr>
            <w:tcW w:type="dxa" w:w="1728"/>
            <w:vAlign w:val="center"/>
          </w:tcPr>
          <w:p>
            <w:r/>
            <w:r>
              <w:rPr>
                <w:rFonts w:ascii="Aptos" w:hAnsi="Aptos"/>
                <w:b w:val="0"/>
                <w:sz w:val="17"/>
              </w:rPr>
              <w:t>2–6 weeks</w:t>
            </w:r>
          </w:p>
        </w:tc>
        <w:tc>
          <w:tcPr>
            <w:tcW w:type="dxa" w:w="6480"/>
            <w:vAlign w:val="center"/>
          </w:tcPr>
          <w:p>
            <w:r/>
            <w:r>
              <w:rPr>
                <w:rFonts w:ascii="Aptos" w:hAnsi="Aptos"/>
                <w:b w:val="0"/>
                <w:sz w:val="17"/>
              </w:rPr>
              <w:t>Daily/weekly structure, earnings, valuation context, industry cycle, policy, relative strength, macro.</w:t>
            </w:r>
          </w:p>
        </w:tc>
        <w:tc>
          <w:tcPr>
            <w:tcW w:type="dxa" w:w="2880"/>
            <w:vAlign w:val="center"/>
          </w:tcPr>
          <w:p>
            <w:r/>
            <w:r>
              <w:rPr>
                <w:rFonts w:ascii="Aptos" w:hAnsi="Aptos"/>
                <w:b w:val="0"/>
                <w:sz w:val="17"/>
              </w:rPr>
              <w:t>Daily / event</w:t>
            </w:r>
          </w:p>
        </w:tc>
      </w:tr>
      <w:tr>
        <w:tc>
          <w:tcPr>
            <w:tcW w:type="dxa" w:w="1728"/>
            <w:vAlign w:val="center"/>
          </w:tcPr>
          <w:p>
            <w:r/>
            <w:r>
              <w:rPr>
                <w:rFonts w:ascii="Aptos" w:hAnsi="Aptos"/>
                <w:b w:val="0"/>
                <w:sz w:val="17"/>
              </w:rPr>
              <w:t>1–3 months</w:t>
            </w:r>
          </w:p>
        </w:tc>
        <w:tc>
          <w:tcPr>
            <w:tcW w:type="dxa" w:w="6480"/>
            <w:vAlign w:val="center"/>
          </w:tcPr>
          <w:p>
            <w:r/>
            <w:r>
              <w:rPr>
                <w:rFonts w:ascii="Aptos" w:hAnsi="Aptos"/>
                <w:b w:val="0"/>
                <w:sz w:val="17"/>
              </w:rPr>
              <w:t>Fundamentals, cycle, valuation, management/earnings trajectory, macro, weekly/monthly technicals.</w:t>
            </w:r>
          </w:p>
        </w:tc>
        <w:tc>
          <w:tcPr>
            <w:tcW w:type="dxa" w:w="2880"/>
            <w:vAlign w:val="center"/>
          </w:tcPr>
          <w:p>
            <w:r/>
            <w:r>
              <w:rPr>
                <w:rFonts w:ascii="Aptos" w:hAnsi="Aptos"/>
                <w:b w:val="0"/>
                <w:sz w:val="17"/>
              </w:rPr>
              <w:t>Daily/weekly / major event</w:t>
            </w:r>
          </w:p>
        </w:tc>
      </w:tr>
    </w:tbl>
    <w:p>
      <w:pPr>
        <w:spacing w:after="40"/>
      </w:pPr>
    </w:p>
    <w:p>
      <w:r>
        <w:t>A single CE Score or PE Score cannot be universal. The same underlying may be an intraday CE, a 3-day NO TRADE, and a 6-week PE watch. TIAF therefore evaluates a view for a specified horizon.</w:t>
      </w:r>
    </w:p>
    <w:p>
      <w:pPr>
        <w:pStyle w:val="Heading1"/>
      </w:pPr>
      <w:r>
        <w:t>8. Data Acquisition and Evidence Layer</w:t>
      </w:r>
    </w:p>
    <w:p>
      <w:r>
        <w:t>Agents should not independently hit broker APIs. A shared Data Service acquires, timestamps, normalizes, caches and validates data once, then distributes a consistent AnalysisContext to all specialists.</w:t>
      </w:r>
    </w:p>
    <w:p>
      <w:pPr>
        <w:pStyle w:val="CodeCompact"/>
      </w:pPr>
      <w:r>
        <w:t xml:space="preserve">                 DATA SERVICE</w:t>
        <w:br/>
        <w:t xml:space="preserve">        +-----------+-----------+</w:t>
        <w:br/>
        <w:t xml:space="preserve">        |           |           |</w:t>
        <w:br/>
        <w:t xml:space="preserve">      Dhan       Zerodha      Web / filings / news</w:t>
        <w:br/>
        <w:t xml:space="preserve">        |           |           |</w:t>
        <w:br/>
        <w:t xml:space="preserve">        +-----------+-----------+</w:t>
        <w:br/>
        <w:t xml:space="preserve">                    |</w:t>
        <w:br/>
        <w:t xml:space="preserve">          normalized market context</w:t>
        <w:br/>
        <w:t xml:space="preserve">                    |</w:t>
        <w:br/>
        <w:t xml:space="preserve">              Derived Features</w:t>
        <w:br/>
        <w:t xml:space="preserve">                    |</w:t>
        <w:br/>
        <w:t xml:space="preserve">             AnalysisContext</w:t>
        <w:br/>
        <w:t xml:space="preserve">                    |</w:t>
        <w:br/>
        <w:t xml:space="preserve">           specialist agents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EAF7"/>
          </w:tcPr>
          <w:p>
            <w:r/>
            <w:r>
              <w:rPr>
                <w:rFonts w:ascii="Aptos" w:hAnsi="Aptos"/>
                <w:b/>
                <w:sz w:val="17"/>
              </w:rPr>
              <w:t>Data class</w:t>
            </w:r>
          </w:p>
        </w:tc>
        <w:tc>
          <w:tcPr>
            <w:tcW w:type="dxa" w:w="8064"/>
            <w:vAlign w:val="center"/>
            <w:shd w:fill="D9EAF7"/>
          </w:tcPr>
          <w:p>
            <w:r/>
            <w:r>
              <w:rPr>
                <w:rFonts w:ascii="Aptos" w:hAnsi="Aptos"/>
                <w:b/>
                <w:sz w:val="17"/>
              </w:rPr>
              <w:t>Examples</w:t>
            </w:r>
          </w:p>
        </w:tc>
      </w:tr>
      <w:tr>
        <w:tc>
          <w:tcPr>
            <w:tcW w:type="dxa" w:w="2304"/>
            <w:vAlign w:val="center"/>
          </w:tcPr>
          <w:p>
            <w:r/>
            <w:r>
              <w:rPr>
                <w:rFonts w:ascii="Aptos" w:hAnsi="Aptos"/>
                <w:b w:val="0"/>
                <w:sz w:val="17"/>
              </w:rPr>
              <w:t>Market data</w:t>
            </w:r>
          </w:p>
        </w:tc>
        <w:tc>
          <w:tcPr>
            <w:tcW w:type="dxa" w:w="8064"/>
            <w:vAlign w:val="center"/>
          </w:tcPr>
          <w:p>
            <w:r/>
            <w:r>
              <w:rPr>
                <w:rFonts w:ascii="Aptos" w:hAnsi="Aptos"/>
                <w:b w:val="0"/>
                <w:sz w:val="17"/>
              </w:rPr>
              <w:t>LTP, OHLCV, intraday candles, daily/weekly history, gaps, breadth, index regime.</w:t>
            </w:r>
          </w:p>
        </w:tc>
      </w:tr>
      <w:tr>
        <w:tc>
          <w:tcPr>
            <w:tcW w:type="dxa" w:w="2304"/>
            <w:vAlign w:val="center"/>
          </w:tcPr>
          <w:p>
            <w:r/>
            <w:r>
              <w:rPr>
                <w:rFonts w:ascii="Aptos" w:hAnsi="Aptos"/>
                <w:b w:val="0"/>
                <w:sz w:val="17"/>
              </w:rPr>
              <w:t>Derivatives</w:t>
            </w:r>
          </w:p>
        </w:tc>
        <w:tc>
          <w:tcPr>
            <w:tcW w:type="dxa" w:w="8064"/>
            <w:vAlign w:val="center"/>
          </w:tcPr>
          <w:p>
            <w:r/>
            <w:r>
              <w:rPr>
                <w:rFonts w:ascii="Aptos" w:hAnsi="Aptos"/>
                <w:b w:val="0"/>
                <w:sz w:val="17"/>
              </w:rPr>
              <w:t>Option chain, IV, OI, volume, bid/ask spread, expiry structure, Greeks when useful.</w:t>
            </w:r>
          </w:p>
        </w:tc>
      </w:tr>
      <w:tr>
        <w:tc>
          <w:tcPr>
            <w:tcW w:type="dxa" w:w="2304"/>
            <w:vAlign w:val="center"/>
          </w:tcPr>
          <w:p>
            <w:r/>
            <w:r>
              <w:rPr>
                <w:rFonts w:ascii="Aptos" w:hAnsi="Aptos"/>
                <w:b w:val="0"/>
                <w:sz w:val="17"/>
              </w:rPr>
              <w:t>Technical features</w:t>
            </w:r>
          </w:p>
        </w:tc>
        <w:tc>
          <w:tcPr>
            <w:tcW w:type="dxa" w:w="8064"/>
            <w:vAlign w:val="center"/>
          </w:tcPr>
          <w:p>
            <w:r/>
            <w:r>
              <w:rPr>
                <w:rFonts w:ascii="Aptos" w:hAnsi="Aptos"/>
                <w:b w:val="0"/>
                <w:sz w:val="17"/>
              </w:rPr>
              <w:t>ATR, range consumed, trend, momentum, support/resistance, relative strength, volatility regime.</w:t>
            </w:r>
          </w:p>
        </w:tc>
      </w:tr>
      <w:tr>
        <w:tc>
          <w:tcPr>
            <w:tcW w:type="dxa" w:w="2304"/>
            <w:vAlign w:val="center"/>
          </w:tcPr>
          <w:p>
            <w:r/>
            <w:r>
              <w:rPr>
                <w:rFonts w:ascii="Aptos" w:hAnsi="Aptos"/>
                <w:b w:val="0"/>
                <w:sz w:val="17"/>
              </w:rPr>
              <w:t>Fundamental</w:t>
            </w:r>
          </w:p>
        </w:tc>
        <w:tc>
          <w:tcPr>
            <w:tcW w:type="dxa" w:w="8064"/>
            <w:vAlign w:val="center"/>
          </w:tcPr>
          <w:p>
            <w:r/>
            <w:r>
              <w:rPr>
                <w:rFonts w:ascii="Aptos" w:hAnsi="Aptos"/>
                <w:b w:val="0"/>
                <w:sz w:val="17"/>
              </w:rPr>
              <w:t>Earnings, revenue/profit trajectory, leverage, valuation context, order book/business drivers where relevant.</w:t>
            </w:r>
          </w:p>
        </w:tc>
      </w:tr>
      <w:tr>
        <w:tc>
          <w:tcPr>
            <w:tcW w:type="dxa" w:w="2304"/>
            <w:vAlign w:val="center"/>
          </w:tcPr>
          <w:p>
            <w:r/>
            <w:r>
              <w:rPr>
                <w:rFonts w:ascii="Aptos" w:hAnsi="Aptos"/>
                <w:b w:val="0"/>
                <w:sz w:val="17"/>
              </w:rPr>
              <w:t>Sector / macro</w:t>
            </w:r>
          </w:p>
        </w:tc>
        <w:tc>
          <w:tcPr>
            <w:tcW w:type="dxa" w:w="8064"/>
            <w:vAlign w:val="center"/>
          </w:tcPr>
          <w:p>
            <w:r/>
            <w:r>
              <w:rPr>
                <w:rFonts w:ascii="Aptos" w:hAnsi="Aptos"/>
                <w:b w:val="0"/>
                <w:sz w:val="17"/>
              </w:rPr>
              <w:t>Sector index, peers, commodity inputs, rates, FX, policy, geopolitical or regulatory context.</w:t>
            </w:r>
          </w:p>
        </w:tc>
      </w:tr>
      <w:tr>
        <w:tc>
          <w:tcPr>
            <w:tcW w:type="dxa" w:w="2304"/>
            <w:vAlign w:val="center"/>
          </w:tcPr>
          <w:p>
            <w:r/>
            <w:r>
              <w:rPr>
                <w:rFonts w:ascii="Aptos" w:hAnsi="Aptos"/>
                <w:b w:val="0"/>
                <w:sz w:val="17"/>
              </w:rPr>
              <w:t>News / events</w:t>
            </w:r>
          </w:p>
        </w:tc>
        <w:tc>
          <w:tcPr>
            <w:tcW w:type="dxa" w:w="8064"/>
            <w:vAlign w:val="center"/>
          </w:tcPr>
          <w:p>
            <w:r/>
            <w:r>
              <w:rPr>
                <w:rFonts w:ascii="Aptos" w:hAnsi="Aptos"/>
                <w:b w:val="0"/>
                <w:sz w:val="17"/>
              </w:rPr>
              <w:t>Company announcements, exchange filings, earnings, policy news, industry events, material global developments.</w:t>
            </w:r>
          </w:p>
        </w:tc>
      </w:tr>
    </w:tbl>
    <w:p>
      <w:pPr>
        <w:spacing w:after="40"/>
      </w:pPr>
    </w:p>
    <w:p>
      <w:pPr>
        <w:pStyle w:val="Heading1"/>
      </w:pPr>
      <w:r>
        <w:t>9. Planner / Orchestrator Agent</w:t>
      </w:r>
    </w:p>
    <w:p>
      <w:r>
        <w:t>The Planner does not predict price directly. Its job is to decide what investigation is proportionate to the task, which specialist agents to invoke, what evidence is missing, and when analysis is sufficiently complete.</w:t>
      </w:r>
    </w:p>
    <w:p>
      <w:pPr>
        <w:pStyle w:val="ListBullet"/>
        <w:spacing w:after="20"/>
      </w:pPr>
      <w:r>
        <w:t>Receives task, universe, horizon, direction policy and output requirement.</w:t>
      </w:r>
    </w:p>
    <w:p>
      <w:pPr>
        <w:pStyle w:val="ListBullet"/>
        <w:spacing w:after="20"/>
      </w:pPr>
      <w:r>
        <w:t>Uses a cheap deterministic pre-filter before expensive deep analysis.</w:t>
      </w:r>
    </w:p>
    <w:p>
      <w:pPr>
        <w:pStyle w:val="ListBullet"/>
        <w:spacing w:after="20"/>
      </w:pPr>
      <w:r>
        <w:t>Selects specialist agents based on candidate characteristics and horizon.</w:t>
      </w:r>
    </w:p>
    <w:p>
      <w:pPr>
        <w:pStyle w:val="ListBullet"/>
        <w:spacing w:after="20"/>
      </w:pPr>
      <w:r>
        <w:t>Requests missing data from the Data Service rather than letting agents fetch ad hoc.</w:t>
      </w:r>
    </w:p>
    <w:p>
      <w:pPr>
        <w:pStyle w:val="ListBullet"/>
        <w:spacing w:after="20"/>
      </w:pPr>
      <w:r>
        <w:t>Controls analysis budget, concurrency, retries and timeouts.</w:t>
      </w:r>
    </w:p>
    <w:p>
      <w:pPr>
        <w:pStyle w:val="ListBullet"/>
        <w:spacing w:after="20"/>
      </w:pPr>
      <w:r>
        <w:t>Requires adversarial review for high-confidence or high-consequence recommendations.</w:t>
      </w:r>
    </w:p>
    <w:p>
      <w:pPr>
        <w:pStyle w:val="ListBullet"/>
        <w:spacing w:after="20"/>
      </w:pPr>
      <w:r>
        <w:t>Can conclude that evidence is insufficient.</w:t>
      </w:r>
    </w:p>
    <w:p>
      <w:pPr>
        <w:pStyle w:val="Heading1"/>
      </w:pPr>
      <w:r>
        <w:t>10. Specialist Agent Set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AF7"/>
          </w:tcPr>
          <w:p>
            <w:r/>
            <w:r>
              <w:rPr>
                <w:rFonts w:ascii="Aptos" w:hAnsi="Aptos"/>
                <w:b/>
                <w:sz w:val="17"/>
              </w:rPr>
              <w:t>Agent</w:t>
            </w:r>
          </w:p>
        </w:tc>
        <w:tc>
          <w:tcPr>
            <w:tcW w:type="dxa" w:w="7488"/>
            <w:vAlign w:val="center"/>
            <w:shd w:fill="D9EAF7"/>
          </w:tcPr>
          <w:p>
            <w:r/>
            <w:r>
              <w:rPr>
                <w:rFonts w:ascii="Aptos" w:hAnsi="Aptos"/>
                <w:b/>
                <w:sz w:val="17"/>
              </w:rPr>
              <w:t>Question it answers</w:t>
            </w:r>
          </w:p>
        </w:tc>
      </w:tr>
      <w:tr>
        <w:tc>
          <w:tcPr>
            <w:tcW w:type="dxa" w:w="2880"/>
            <w:vAlign w:val="center"/>
          </w:tcPr>
          <w:p>
            <w:r/>
            <w:r>
              <w:rPr>
                <w:rFonts w:ascii="Aptos" w:hAnsi="Aptos"/>
                <w:b w:val="0"/>
                <w:sz w:val="17"/>
              </w:rPr>
              <w:t>Market Regime Agent</w:t>
            </w:r>
          </w:p>
        </w:tc>
        <w:tc>
          <w:tcPr>
            <w:tcW w:type="dxa" w:w="7488"/>
            <w:vAlign w:val="center"/>
          </w:tcPr>
          <w:p>
            <w:r/>
            <w:r>
              <w:rPr>
                <w:rFonts w:ascii="Aptos" w:hAnsi="Aptos"/>
                <w:b w:val="0"/>
                <w:sz w:val="17"/>
              </w:rPr>
              <w:t>What environment are we trading in: trend, range, risk-on/off, event-driven, unstable?</w:t>
            </w:r>
          </w:p>
        </w:tc>
      </w:tr>
      <w:tr>
        <w:tc>
          <w:tcPr>
            <w:tcW w:type="dxa" w:w="2880"/>
            <w:vAlign w:val="center"/>
          </w:tcPr>
          <w:p>
            <w:r/>
            <w:r>
              <w:rPr>
                <w:rFonts w:ascii="Aptos" w:hAnsi="Aptos"/>
                <w:b w:val="0"/>
                <w:sz w:val="17"/>
              </w:rPr>
              <w:t>Sector / Rotation Agent</w:t>
            </w:r>
          </w:p>
        </w:tc>
        <w:tc>
          <w:tcPr>
            <w:tcW w:type="dxa" w:w="7488"/>
            <w:vAlign w:val="center"/>
          </w:tcPr>
          <w:p>
            <w:r/>
            <w:r>
              <w:rPr>
                <w:rFonts w:ascii="Aptos" w:hAnsi="Aptos"/>
                <w:b w:val="0"/>
                <w:sz w:val="17"/>
              </w:rPr>
              <w:t>Is money moving into/out of the sector, and how are peers behaving?</w:t>
            </w:r>
          </w:p>
        </w:tc>
      </w:tr>
      <w:tr>
        <w:tc>
          <w:tcPr>
            <w:tcW w:type="dxa" w:w="2880"/>
            <w:vAlign w:val="center"/>
          </w:tcPr>
          <w:p>
            <w:r/>
            <w:r>
              <w:rPr>
                <w:rFonts w:ascii="Aptos" w:hAnsi="Aptos"/>
                <w:b w:val="0"/>
                <w:sz w:val="17"/>
              </w:rPr>
              <w:t>Technical Structure Agent</w:t>
            </w:r>
          </w:p>
        </w:tc>
        <w:tc>
          <w:tcPr>
            <w:tcW w:type="dxa" w:w="7488"/>
            <w:vAlign w:val="center"/>
          </w:tcPr>
          <w:p>
            <w:r/>
            <w:r>
              <w:rPr>
                <w:rFonts w:ascii="Aptos" w:hAnsi="Aptos"/>
                <w:b w:val="0"/>
                <w:sz w:val="17"/>
              </w:rPr>
              <w:t>What does multi-timeframe structure imply? Where are invalidation and decision levels?</w:t>
            </w:r>
          </w:p>
        </w:tc>
      </w:tr>
      <w:tr>
        <w:tc>
          <w:tcPr>
            <w:tcW w:type="dxa" w:w="2880"/>
            <w:vAlign w:val="center"/>
          </w:tcPr>
          <w:p>
            <w:r/>
            <w:r>
              <w:rPr>
                <w:rFonts w:ascii="Aptos" w:hAnsi="Aptos"/>
                <w:b w:val="0"/>
                <w:sz w:val="17"/>
              </w:rPr>
              <w:t>Momentum Agent</w:t>
            </w:r>
          </w:p>
        </w:tc>
        <w:tc>
          <w:tcPr>
            <w:tcW w:type="dxa" w:w="7488"/>
            <w:vAlign w:val="center"/>
          </w:tcPr>
          <w:p>
            <w:r/>
            <w:r>
              <w:rPr>
                <w:rFonts w:ascii="Aptos" w:hAnsi="Aptos"/>
                <w:b w:val="0"/>
                <w:sz w:val="17"/>
              </w:rPr>
              <w:t>Is movement beginning, sustaining, decelerating, or reversing?</w:t>
            </w:r>
          </w:p>
        </w:tc>
      </w:tr>
      <w:tr>
        <w:tc>
          <w:tcPr>
            <w:tcW w:type="dxa" w:w="2880"/>
            <w:vAlign w:val="center"/>
          </w:tcPr>
          <w:p>
            <w:r/>
            <w:r>
              <w:rPr>
                <w:rFonts w:ascii="Aptos" w:hAnsi="Aptos"/>
                <w:b w:val="0"/>
                <w:sz w:val="17"/>
              </w:rPr>
              <w:t>Volume / Participation Agent</w:t>
            </w:r>
          </w:p>
        </w:tc>
        <w:tc>
          <w:tcPr>
            <w:tcW w:type="dxa" w:w="7488"/>
            <w:vAlign w:val="center"/>
          </w:tcPr>
          <w:p>
            <w:r/>
            <w:r>
              <w:rPr>
                <w:rFonts w:ascii="Aptos" w:hAnsi="Aptos"/>
                <w:b w:val="0"/>
                <w:sz w:val="17"/>
              </w:rPr>
              <w:t>Is price movement supported by expanding participation or distribution?</w:t>
            </w:r>
          </w:p>
        </w:tc>
      </w:tr>
      <w:tr>
        <w:tc>
          <w:tcPr>
            <w:tcW w:type="dxa" w:w="2880"/>
            <w:vAlign w:val="center"/>
          </w:tcPr>
          <w:p>
            <w:r/>
            <w:r>
              <w:rPr>
                <w:rFonts w:ascii="Aptos" w:hAnsi="Aptos"/>
                <w:b w:val="0"/>
                <w:sz w:val="17"/>
              </w:rPr>
              <w:t>Relative Strength Agent</w:t>
            </w:r>
          </w:p>
        </w:tc>
        <w:tc>
          <w:tcPr>
            <w:tcW w:type="dxa" w:w="7488"/>
            <w:vAlign w:val="center"/>
          </w:tcPr>
          <w:p>
            <w:r/>
            <w:r>
              <w:rPr>
                <w:rFonts w:ascii="Aptos" w:hAnsi="Aptos"/>
                <w:b w:val="0"/>
                <w:sz w:val="17"/>
              </w:rPr>
              <w:t>Is the stock outperforming/underperforming index and sector before the move becomes obvious?</w:t>
            </w:r>
          </w:p>
        </w:tc>
      </w:tr>
      <w:tr>
        <w:tc>
          <w:tcPr>
            <w:tcW w:type="dxa" w:w="2880"/>
            <w:vAlign w:val="center"/>
          </w:tcPr>
          <w:p>
            <w:r/>
            <w:r>
              <w:rPr>
                <w:rFonts w:ascii="Aptos" w:hAnsi="Aptos"/>
                <w:b w:val="0"/>
                <w:sz w:val="17"/>
              </w:rPr>
              <w:t>Volatility Agent</w:t>
            </w:r>
          </w:p>
        </w:tc>
        <w:tc>
          <w:tcPr>
            <w:tcW w:type="dxa" w:w="7488"/>
            <w:vAlign w:val="center"/>
          </w:tcPr>
          <w:p>
            <w:r/>
            <w:r>
              <w:rPr>
                <w:rFonts w:ascii="Aptos" w:hAnsi="Aptos"/>
                <w:b w:val="0"/>
                <w:sz w:val="17"/>
              </w:rPr>
              <w:t>Is the expected range sufficient, excessive, compressed, or event-distorted?</w:t>
            </w:r>
          </w:p>
        </w:tc>
      </w:tr>
      <w:tr>
        <w:tc>
          <w:tcPr>
            <w:tcW w:type="dxa" w:w="2880"/>
            <w:vAlign w:val="center"/>
          </w:tcPr>
          <w:p>
            <w:r/>
            <w:r>
              <w:rPr>
                <w:rFonts w:ascii="Aptos" w:hAnsi="Aptos"/>
                <w:b w:val="0"/>
                <w:sz w:val="17"/>
              </w:rPr>
              <w:t>Fundamental Agent</w:t>
            </w:r>
          </w:p>
        </w:tc>
        <w:tc>
          <w:tcPr>
            <w:tcW w:type="dxa" w:w="7488"/>
            <w:vAlign w:val="center"/>
          </w:tcPr>
          <w:p>
            <w:r/>
            <w:r>
              <w:rPr>
                <w:rFonts w:ascii="Aptos" w:hAnsi="Aptos"/>
                <w:b w:val="0"/>
                <w:sz w:val="17"/>
              </w:rPr>
              <w:t>Does business/earnings/valuation context support or oppose the horizon thesis?</w:t>
            </w:r>
          </w:p>
        </w:tc>
      </w:tr>
      <w:tr>
        <w:tc>
          <w:tcPr>
            <w:tcW w:type="dxa" w:w="2880"/>
            <w:vAlign w:val="center"/>
          </w:tcPr>
          <w:p>
            <w:r/>
            <w:r>
              <w:rPr>
                <w:rFonts w:ascii="Aptos" w:hAnsi="Aptos"/>
                <w:b w:val="0"/>
                <w:sz w:val="17"/>
              </w:rPr>
              <w:t>News / Catalyst Agent</w:t>
            </w:r>
          </w:p>
        </w:tc>
        <w:tc>
          <w:tcPr>
            <w:tcW w:type="dxa" w:w="7488"/>
            <w:vAlign w:val="center"/>
          </w:tcPr>
          <w:p>
            <w:r/>
            <w:r>
              <w:rPr>
                <w:rFonts w:ascii="Aptos" w:hAnsi="Aptos"/>
                <w:b w:val="0"/>
                <w:sz w:val="17"/>
              </w:rPr>
              <w:t>What new information can alter the probability distribution now?</w:t>
            </w:r>
          </w:p>
        </w:tc>
      </w:tr>
      <w:tr>
        <w:tc>
          <w:tcPr>
            <w:tcW w:type="dxa" w:w="2880"/>
            <w:vAlign w:val="center"/>
          </w:tcPr>
          <w:p>
            <w:r/>
            <w:r>
              <w:rPr>
                <w:rFonts w:ascii="Aptos" w:hAnsi="Aptos"/>
                <w:b w:val="0"/>
                <w:sz w:val="17"/>
              </w:rPr>
              <w:t>Cycle / Macro Agent</w:t>
            </w:r>
          </w:p>
        </w:tc>
        <w:tc>
          <w:tcPr>
            <w:tcW w:type="dxa" w:w="7488"/>
            <w:vAlign w:val="center"/>
          </w:tcPr>
          <w:p>
            <w:r/>
            <w:r>
              <w:rPr>
                <w:rFonts w:ascii="Aptos" w:hAnsi="Aptos"/>
                <w:b w:val="0"/>
                <w:sz w:val="17"/>
              </w:rPr>
              <w:t>Are industry cycles, commodities, rates, FX, policy or geopolitics material?</w:t>
            </w:r>
          </w:p>
        </w:tc>
      </w:tr>
      <w:tr>
        <w:tc>
          <w:tcPr>
            <w:tcW w:type="dxa" w:w="2880"/>
            <w:vAlign w:val="center"/>
          </w:tcPr>
          <w:p>
            <w:r/>
            <w:r>
              <w:rPr>
                <w:rFonts w:ascii="Aptos" w:hAnsi="Aptos"/>
                <w:b w:val="0"/>
                <w:sz w:val="17"/>
              </w:rPr>
              <w:t>Options Agent</w:t>
            </w:r>
          </w:p>
        </w:tc>
        <w:tc>
          <w:tcPr>
            <w:tcW w:type="dxa" w:w="7488"/>
            <w:vAlign w:val="center"/>
          </w:tcPr>
          <w:p>
            <w:r/>
            <w:r>
              <w:rPr>
                <w:rFonts w:ascii="Aptos" w:hAnsi="Aptos"/>
                <w:b w:val="0"/>
                <w:sz w:val="17"/>
              </w:rPr>
              <w:t>How should the underlying view be expressed through expiry/strike/IV/liquidity?</w:t>
            </w:r>
          </w:p>
        </w:tc>
      </w:tr>
      <w:tr>
        <w:tc>
          <w:tcPr>
            <w:tcW w:type="dxa" w:w="2880"/>
            <w:vAlign w:val="center"/>
          </w:tcPr>
          <w:p>
            <w:r/>
            <w:r>
              <w:rPr>
                <w:rFonts w:ascii="Aptos" w:hAnsi="Aptos"/>
                <w:b w:val="0"/>
                <w:sz w:val="17"/>
              </w:rPr>
              <w:t>Exhaustion / Contrarian Agent</w:t>
            </w:r>
          </w:p>
        </w:tc>
        <w:tc>
          <w:tcPr>
            <w:tcW w:type="dxa" w:w="7488"/>
            <w:vAlign w:val="center"/>
          </w:tcPr>
          <w:p>
            <w:r/>
            <w:r>
              <w:rPr>
                <w:rFonts w:ascii="Aptos" w:hAnsi="Aptos"/>
                <w:b w:val="0"/>
                <w:sz w:val="17"/>
              </w:rPr>
              <w:t>Has the obvious move already been consumed? What makes the consensus wrong?</w:t>
            </w:r>
          </w:p>
        </w:tc>
      </w:tr>
      <w:tr>
        <w:tc>
          <w:tcPr>
            <w:tcW w:type="dxa" w:w="2880"/>
            <w:vAlign w:val="center"/>
          </w:tcPr>
          <w:p>
            <w:r/>
            <w:r>
              <w:rPr>
                <w:rFonts w:ascii="Aptos" w:hAnsi="Aptos"/>
                <w:b w:val="0"/>
                <w:sz w:val="17"/>
              </w:rPr>
              <w:t>Risk Agent</w:t>
            </w:r>
          </w:p>
        </w:tc>
        <w:tc>
          <w:tcPr>
            <w:tcW w:type="dxa" w:w="7488"/>
            <w:vAlign w:val="center"/>
          </w:tcPr>
          <w:p>
            <w:r/>
            <w:r>
              <w:rPr>
                <w:rFonts w:ascii="Aptos" w:hAnsi="Aptos"/>
                <w:b w:val="0"/>
                <w:sz w:val="17"/>
              </w:rPr>
              <w:t>Is the trade attractive after downside, event, liquidity and portfolio risks?</w:t>
            </w:r>
          </w:p>
        </w:tc>
      </w:tr>
      <w:tr>
        <w:tc>
          <w:tcPr>
            <w:tcW w:type="dxa" w:w="2880"/>
            <w:vAlign w:val="center"/>
          </w:tcPr>
          <w:p>
            <w:r/>
            <w:r>
              <w:rPr>
                <w:rFonts w:ascii="Aptos" w:hAnsi="Aptos"/>
                <w:b w:val="0"/>
                <w:sz w:val="17"/>
              </w:rPr>
              <w:t>Exit Agent</w:t>
            </w:r>
          </w:p>
        </w:tc>
        <w:tc>
          <w:tcPr>
            <w:tcW w:type="dxa" w:w="7488"/>
            <w:vAlign w:val="center"/>
          </w:tcPr>
          <w:p>
            <w:r/>
            <w:r>
              <w:rPr>
                <w:rFonts w:ascii="Aptos" w:hAnsi="Aptos"/>
                <w:b w:val="0"/>
                <w:sz w:val="17"/>
              </w:rPr>
              <w:t>For an open position, should we hold, protect, book, or exit now?</w:t>
            </w:r>
          </w:p>
        </w:tc>
      </w:tr>
    </w:tbl>
    <w:p>
      <w:pPr>
        <w:spacing w:after="40"/>
      </w:pPr>
    </w:p>
    <w:p>
      <w:pPr>
        <w:pStyle w:val="Heading1"/>
      </w:pPr>
      <w:r>
        <w:t>11. Adversarial Analysis and Arbitration</w:t>
      </w:r>
    </w:p>
    <w:p>
      <w:r>
        <w:t>TIAF should not simply average agent scores. The arbitration layer evaluates evidence quality, horizon relevance, freshness, confidence calibration, historical reliability, and disagreement.</w:t>
      </w:r>
    </w:p>
    <w:p>
      <w:pPr>
        <w:pStyle w:val="CodeCompact"/>
      </w:pPr>
      <w:r>
        <w:t>BULL CASE</w:t>
        <w:br/>
        <w:t xml:space="preserve">   |</w:t>
        <w:br/>
        <w:t xml:space="preserve">   +--&gt; evidence</w:t>
        <w:br/>
        <w:t xml:space="preserve">   |</w:t>
        <w:br/>
        <w:t>BEAR / CONTRARIAN CASE</w:t>
        <w:br/>
        <w:t xml:space="preserve">   |</w:t>
        <w:br/>
        <w:t xml:space="preserve">   +--&gt; evidence</w:t>
        <w:br/>
        <w:t xml:space="preserve">   |</w:t>
        <w:br/>
        <w:t>RISK CHALLENGE</w:t>
        <w:br/>
        <w:t xml:space="preserve">   |</w:t>
        <w:br/>
        <w:t xml:space="preserve">   v</w:t>
        <w:br/>
        <w:t>ARBITRATOR</w:t>
        <w:br/>
        <w:t xml:space="preserve">   |</w:t>
        <w:br/>
        <w:t xml:space="preserve">   +--&gt; consensus</w:t>
        <w:br/>
        <w:t xml:space="preserve">   +--&gt; disagreement</w:t>
        <w:br/>
        <w:t xml:space="preserve">   +--&gt; confidence</w:t>
        <w:br/>
        <w:t xml:space="preserve">   +--&gt; action</w:t>
        <w:br/>
        <w:t xml:space="preserve">   +--&gt; invalidation</w:t>
        <w:br/>
        <w:t xml:space="preserve">   +--&gt; next reassessment trigger</w:t>
      </w:r>
    </w:p>
    <w:p>
      <w:r>
        <w:t>Strong disagreement is itself information. A nominally bullish candidate with high disagreement should often be downgraded to WAIT rather than forced into CE.</w:t>
      </w:r>
    </w:p>
    <w:p>
      <w:pPr>
        <w:pStyle w:val="Heading1"/>
      </w:pPr>
      <w:r>
        <w:t>12. Underlying Selection Before Option Selection</w:t>
      </w:r>
    </w:p>
    <w:p>
      <w:r>
        <w:t>Underlying direction and option expression are separate analytical problems. The first stage determines whether the underlying opportunity is attractive. The second decides whether and how options are an appropriate expression.</w:t>
      </w:r>
    </w:p>
    <w:p>
      <w:pPr>
        <w:pStyle w:val="CodeCompact"/>
      </w:pPr>
      <w:r>
        <w:t>Stage 1: UNDERLYING INTELLIGENCE</w:t>
        <w:br/>
        <w:t>KAYNES: bullish, expected +5% to +8%, horizon 5–10 days</w:t>
        <w:br/>
        <w:br/>
        <w:t xml:space="preserve">              |</w:t>
        <w:br/>
        <w:t xml:space="preserve">              v</w:t>
        <w:br/>
        <w:br/>
        <w:t>Stage 2: OPTION EXPRESSION</w:t>
        <w:br/>
        <w:t>expiry -&gt; strike -&gt; delta -&gt; IV -&gt; OI/liquidity -&gt; spread -&gt; theta -&gt; contract choice</w:t>
      </w:r>
    </w:p>
    <w:p>
      <w:r>
        <w:t>Greeks therefore are not mandatory input to opportunity discovery. They become especially important when converting a validated underlying thesis into a CE/PE trade.</w:t>
      </w:r>
    </w:p>
    <w:p>
      <w:pPr>
        <w:pStyle w:val="Heading1"/>
      </w:pPr>
      <w:r>
        <w:t>13. Option Expression Agent</w:t>
      </w:r>
    </w:p>
    <w:p>
      <w:pPr>
        <w:pStyle w:val="ListBullet"/>
        <w:spacing w:after="20"/>
      </w:pPr>
      <w:r>
        <w:t>Select expiry consistent with expected move horizon and event calendar.</w:t>
      </w:r>
    </w:p>
    <w:p>
      <w:pPr>
        <w:pStyle w:val="ListBullet"/>
        <w:spacing w:after="20"/>
      </w:pPr>
      <w:r>
        <w:t>Evaluate ATM/ITM/OTM trade-off, delta, theta exposure and convexity.</w:t>
      </w:r>
    </w:p>
    <w:p>
      <w:pPr>
        <w:pStyle w:val="ListBullet"/>
        <w:spacing w:after="20"/>
      </w:pPr>
      <w:r>
        <w:t>Avoid illiquid strikes and unacceptable spreads.</w:t>
      </w:r>
    </w:p>
    <w:p>
      <w:pPr>
        <w:pStyle w:val="ListBullet"/>
        <w:spacing w:after="20"/>
      </w:pPr>
      <w:r>
        <w:t>Assess IV level and whether the option is excessively expensive for the expected move.</w:t>
      </w:r>
    </w:p>
    <w:p>
      <w:pPr>
        <w:pStyle w:val="ListBullet"/>
        <w:spacing w:after="20"/>
      </w:pPr>
      <w:r>
        <w:t>Check OI/volume only as evidence, not as a deterministic oracle.</w:t>
      </w:r>
    </w:p>
    <w:p>
      <w:pPr>
        <w:pStyle w:val="ListBullet"/>
        <w:spacing w:after="20"/>
      </w:pPr>
      <w:r>
        <w:t>Return NO OPTION TRADE when underlying view is valid but available contracts are poor.</w:t>
      </w:r>
    </w:p>
    <w:p>
      <w:pPr>
        <w:pStyle w:val="ListBullet"/>
        <w:spacing w:after="20"/>
      </w:pPr>
      <w:r>
        <w:t>Provide expected break-even sensitivity and risk notes for TradeMonitor/RM.</w:t>
      </w:r>
    </w:p>
    <w:p>
      <w:pPr>
        <w:pStyle w:val="Heading1"/>
      </w:pPr>
      <w:r>
        <w:t>14. Position-Management Recommendations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D9EAF7"/>
          </w:tcPr>
          <w:p>
            <w:r/>
            <w:r>
              <w:rPr>
                <w:rFonts w:ascii="Aptos" w:hAnsi="Aptos"/>
                <w:b/>
                <w:sz w:val="17"/>
              </w:rPr>
              <w:t>Action</w:t>
            </w:r>
          </w:p>
        </w:tc>
        <w:tc>
          <w:tcPr>
            <w:tcW w:type="dxa" w:w="8208"/>
            <w:vAlign w:val="center"/>
            <w:shd w:fill="D9EAF7"/>
          </w:tcPr>
          <w:p>
            <w:r/>
            <w:r>
              <w:rPr>
                <w:rFonts w:ascii="Aptos" w:hAnsi="Aptos"/>
                <w:b/>
                <w:sz w:val="17"/>
              </w:rPr>
              <w:t>Meaning</w:t>
            </w:r>
          </w:p>
        </w:tc>
      </w:tr>
      <w:tr>
        <w:tc>
          <w:tcPr>
            <w:tcW w:type="dxa" w:w="2160"/>
            <w:vAlign w:val="center"/>
          </w:tcPr>
          <w:p>
            <w:r/>
            <w:r>
              <w:rPr>
                <w:rFonts w:ascii="Aptos" w:hAnsi="Aptos"/>
                <w:b w:val="0"/>
                <w:sz w:val="17"/>
              </w:rPr>
              <w:t>HOLD</w:t>
            </w:r>
          </w:p>
        </w:tc>
        <w:tc>
          <w:tcPr>
            <w:tcW w:type="dxa" w:w="8208"/>
            <w:vAlign w:val="center"/>
          </w:tcPr>
          <w:p>
            <w:r/>
            <w:r>
              <w:rPr>
                <w:rFonts w:ascii="Aptos" w:hAnsi="Aptos"/>
                <w:b w:val="0"/>
                <w:sz w:val="17"/>
              </w:rPr>
              <w:t>No meaningful reason to disturb the position.</w:t>
            </w:r>
          </w:p>
        </w:tc>
      </w:tr>
      <w:tr>
        <w:tc>
          <w:tcPr>
            <w:tcW w:type="dxa" w:w="2160"/>
            <w:vAlign w:val="center"/>
          </w:tcPr>
          <w:p>
            <w:r/>
            <w:r>
              <w:rPr>
                <w:rFonts w:ascii="Aptos" w:hAnsi="Aptos"/>
                <w:b w:val="0"/>
                <w:sz w:val="17"/>
              </w:rPr>
              <w:t>WATCH_CLOSELY</w:t>
            </w:r>
          </w:p>
        </w:tc>
        <w:tc>
          <w:tcPr>
            <w:tcW w:type="dxa" w:w="8208"/>
            <w:vAlign w:val="center"/>
          </w:tcPr>
          <w:p>
            <w:r/>
            <w:r>
              <w:rPr>
                <w:rFonts w:ascii="Aptos" w:hAnsi="Aptos"/>
                <w:b w:val="0"/>
                <w:sz w:val="17"/>
              </w:rPr>
              <w:t>Thesis still valid, but deterioration or event risk is increasing.</w:t>
            </w:r>
          </w:p>
        </w:tc>
      </w:tr>
      <w:tr>
        <w:tc>
          <w:tcPr>
            <w:tcW w:type="dxa" w:w="2160"/>
            <w:vAlign w:val="center"/>
          </w:tcPr>
          <w:p>
            <w:r/>
            <w:r>
              <w:rPr>
                <w:rFonts w:ascii="Aptos" w:hAnsi="Aptos"/>
                <w:b w:val="0"/>
                <w:sz w:val="17"/>
              </w:rPr>
              <w:t>PROTECT</w:t>
            </w:r>
          </w:p>
        </w:tc>
        <w:tc>
          <w:tcPr>
            <w:tcW w:type="dxa" w:w="8208"/>
            <w:vAlign w:val="center"/>
          </w:tcPr>
          <w:p>
            <w:r/>
            <w:r>
              <w:rPr>
                <w:rFonts w:ascii="Aptos" w:hAnsi="Aptos"/>
                <w:b w:val="0"/>
                <w:sz w:val="17"/>
              </w:rPr>
              <w:t>Protect open gains / reduce allowed risk; may map to TM's PROTECTED state.</w:t>
            </w:r>
          </w:p>
        </w:tc>
      </w:tr>
      <w:tr>
        <w:tc>
          <w:tcPr>
            <w:tcW w:type="dxa" w:w="2160"/>
            <w:vAlign w:val="center"/>
          </w:tcPr>
          <w:p>
            <w:r/>
            <w:r>
              <w:rPr>
                <w:rFonts w:ascii="Aptos" w:hAnsi="Aptos"/>
                <w:b w:val="0"/>
                <w:sz w:val="17"/>
              </w:rPr>
              <w:t>PARTIAL_BOOK</w:t>
            </w:r>
          </w:p>
        </w:tc>
        <w:tc>
          <w:tcPr>
            <w:tcW w:type="dxa" w:w="8208"/>
            <w:vAlign w:val="center"/>
          </w:tcPr>
          <w:p>
            <w:r/>
            <w:r>
              <w:rPr>
                <w:rFonts w:ascii="Aptos" w:hAnsi="Aptos"/>
                <w:b w:val="0"/>
                <w:sz w:val="17"/>
              </w:rPr>
              <w:t>Realize part of the position while retaining upside participation.</w:t>
            </w:r>
          </w:p>
        </w:tc>
      </w:tr>
      <w:tr>
        <w:tc>
          <w:tcPr>
            <w:tcW w:type="dxa" w:w="2160"/>
            <w:vAlign w:val="center"/>
          </w:tcPr>
          <w:p>
            <w:r/>
            <w:r>
              <w:rPr>
                <w:rFonts w:ascii="Aptos" w:hAnsi="Aptos"/>
                <w:b w:val="0"/>
                <w:sz w:val="17"/>
              </w:rPr>
              <w:t>BOOK</w:t>
            </w:r>
          </w:p>
        </w:tc>
        <w:tc>
          <w:tcPr>
            <w:tcW w:type="dxa" w:w="8208"/>
            <w:vAlign w:val="center"/>
          </w:tcPr>
          <w:p>
            <w:r/>
            <w:r>
              <w:rPr>
                <w:rFonts w:ascii="Aptos" w:hAnsi="Aptos"/>
                <w:b w:val="0"/>
                <w:sz w:val="17"/>
              </w:rPr>
              <w:t>Profit opportunity has matured enough that realization is preferred.</w:t>
            </w:r>
          </w:p>
        </w:tc>
      </w:tr>
      <w:tr>
        <w:tc>
          <w:tcPr>
            <w:tcW w:type="dxa" w:w="2160"/>
            <w:vAlign w:val="center"/>
          </w:tcPr>
          <w:p>
            <w:r/>
            <w:r>
              <w:rPr>
                <w:rFonts w:ascii="Aptos" w:hAnsi="Aptos"/>
                <w:b w:val="0"/>
                <w:sz w:val="17"/>
              </w:rPr>
              <w:t>EXIT</w:t>
            </w:r>
          </w:p>
        </w:tc>
        <w:tc>
          <w:tcPr>
            <w:tcW w:type="dxa" w:w="8208"/>
            <w:vAlign w:val="center"/>
          </w:tcPr>
          <w:p>
            <w:r/>
            <w:r>
              <w:rPr>
                <w:rFonts w:ascii="Aptos" w:hAnsi="Aptos"/>
                <w:b w:val="0"/>
                <w:sz w:val="17"/>
              </w:rPr>
              <w:t>Forward risk/reward has deteriorated; position should be closed subject to TM authority.</w:t>
            </w:r>
          </w:p>
        </w:tc>
      </w:tr>
    </w:tbl>
    <w:p>
      <w:pPr>
        <w:spacing w:after="40"/>
      </w:pPr>
    </w:p>
    <w:p>
      <w:r>
        <w:t>Every action also carries a strength and confidence:</w:t>
      </w:r>
    </w:p>
    <w:p>
      <w:pPr>
        <w:pStyle w:val="CodeCompact"/>
      </w:pPr>
      <w:r>
        <w:t>strength   = MILD | MODERATE | STRONG | URGENT</w:t>
        <w:br/>
        <w:t>confidence = 0.00 .. 1.00</w:t>
        <w:br/>
        <w:br/>
        <w:t>Example:</w:t>
        <w:br/>
        <w:t>action      = EXIT</w:t>
        <w:br/>
        <w:t>strength    = STRONG</w:t>
        <w:br/>
        <w:t>confidence  = 0.86</w:t>
        <w:br/>
        <w:t>reasons     = [industry shock, sector weakness, support break, profit available to protect]</w:t>
      </w:r>
    </w:p>
    <w:p>
      <w:pPr>
        <w:pStyle w:val="Heading1"/>
      </w:pPr>
      <w:r>
        <w:t>15. Stateful Reassessment</w:t>
      </w:r>
    </w:p>
    <w:p>
      <w:r>
        <w:t>A position should not be re-analysed as if it were brand new on every tick. The Position Intelligence workflow retains previous assessments and asks what changed.</w:t>
      </w:r>
    </w:p>
    <w:p>
      <w:pPr>
        <w:pStyle w:val="CodeCompact"/>
      </w:pPr>
      <w:r>
        <w:t>10:05  ADOPT         -&gt; HOLD / RISK</w:t>
        <w:br/>
        <w:t>10:45  structure ↑   -&gt; HOLD</w:t>
        <w:br/>
        <w:t>11:20  TGT1 reached  -&gt; PROTECT</w:t>
        <w:br/>
        <w:t>12:10  trend strong  -&gt; FREE / HOLD</w:t>
        <w:br/>
        <w:t>13:05  divergence    -&gt; WATCH_CLOSELY / tighter protection</w:t>
        <w:br/>
        <w:t>13:35  support break -&gt; EXIT STRONG</w:t>
      </w:r>
    </w:p>
    <w:p>
      <w:r>
        <w:t>Reassessment can be triggered by time, price milestones, P&amp;L milestones, technical changes, sector moves, news/events, volatility changes, expiry proximity, or explicit TradeMonitor requests.</w:t>
      </w:r>
    </w:p>
    <w:p>
      <w:pPr>
        <w:pStyle w:val="Heading1"/>
      </w:pPr>
      <w:r>
        <w:t>16. Deterministic Safety Floor</w:t>
      </w:r>
    </w:p>
    <w:p>
      <w:r>
        <w:t>TIAF is not responsible for guaranteeing account safety. TradeMonitor must retain hard deterministic safeguards that apply even if the Agent service is unavailable, slow, contradictory, or wrong.</w:t>
      </w:r>
    </w:p>
    <w:p>
      <w:pPr>
        <w:pStyle w:val="ListBullet"/>
        <w:spacing w:after="20"/>
      </w:pPr>
      <w:r>
        <w:t>Maximum tolerated loss / emergency stop.</w:t>
      </w:r>
    </w:p>
    <w:p>
      <w:pPr>
        <w:pStyle w:val="ListBullet"/>
        <w:spacing w:after="20"/>
      </w:pPr>
      <w:r>
        <w:t>Portfolio and per-position exposure limits.</w:t>
      </w:r>
    </w:p>
    <w:p>
      <w:pPr>
        <w:pStyle w:val="ListBullet"/>
        <w:spacing w:after="20"/>
      </w:pPr>
      <w:r>
        <w:t>Expiry and forced-exit rules where applicable.</w:t>
      </w:r>
    </w:p>
    <w:p>
      <w:pPr>
        <w:pStyle w:val="ListBullet"/>
        <w:spacing w:after="20"/>
      </w:pPr>
      <w:r>
        <w:t>Broker health and reconciliation checks.</w:t>
      </w:r>
    </w:p>
    <w:p>
      <w:pPr>
        <w:pStyle w:val="ListBullet"/>
        <w:spacing w:after="20"/>
      </w:pPr>
      <w:r>
        <w:t>Duplicate/stale advice rejection.</w:t>
      </w:r>
    </w:p>
    <w:p>
      <w:pPr>
        <w:pStyle w:val="ListBullet"/>
        <w:spacing w:after="20"/>
      </w:pPr>
      <w:r>
        <w:t>Advice freshness / TTL.</w:t>
      </w:r>
    </w:p>
    <w:p>
      <w:pPr>
        <w:pStyle w:val="ListBullet"/>
        <w:spacing w:after="20"/>
      </w:pPr>
      <w:r>
        <w:t>Minimum liquidity / spread constraints for execution.</w:t>
      </w:r>
    </w:p>
    <w:p>
      <w:pPr>
        <w:pStyle w:val="ListBullet"/>
        <w:spacing w:after="20"/>
      </w:pPr>
      <w:r>
        <w:t>Authority policy: PAPER, SEMI_AUTO, AUTO.</w:t>
      </w:r>
    </w:p>
    <w:p>
      <w:r>
        <w:t>The intended contract is: Agents optimize trade management; TradeMonitor guarantees bounded and authorized trade management.</w:t>
      </w:r>
    </w:p>
    <w:p>
      <w:pPr>
        <w:pStyle w:val="Heading1"/>
      </w:pPr>
      <w:r>
        <w:t>17. Neutral Integration Contracts</w:t>
      </w:r>
    </w:p>
    <w:p>
      <w:r>
        <w:t>The service must expose stable schemas independent of Google Sheets, any one broker, or any one agent framework.</w:t>
      </w:r>
    </w:p>
    <w:p>
      <w:pPr>
        <w:pStyle w:val="CodeCompact"/>
      </w:pPr>
      <w:r>
        <w:t>OpportunityRequest</w:t>
        <w:br/>
        <w:t>{</w:t>
        <w:br/>
        <w:t xml:space="preserve">  universe: [symbols],</w:t>
        <w:br/>
        <w:t xml:space="preserve">  trade_style: DAY | POSITIONAL,</w:t>
        <w:br/>
        <w:t xml:space="preserve">  horizon: duration/range,</w:t>
        <w:br/>
        <w:t xml:space="preserve">  direction: CE | PE | BOTH,</w:t>
        <w:br/>
        <w:t xml:space="preserve">  top_n: integer,</w:t>
        <w:br/>
        <w:t xml:space="preserve">  optional_enrichment: ...</w:t>
        <w:br/>
        <w:t>}</w:t>
        <w:br/>
        <w:br/>
        <w:t>OpportunityAssessment</w:t>
        <w:br/>
        <w:t>{</w:t>
        <w:br/>
        <w:t xml:space="preserve">  symbol,</w:t>
        <w:br/>
        <w:t xml:space="preserve">  direction,</w:t>
        <w:br/>
        <w:t xml:space="preserve">  horizon,</w:t>
        <w:br/>
        <w:t xml:space="preserve">  opportunity_score,</w:t>
        <w:br/>
        <w:t xml:space="preserve">  confidence,</w:t>
        <w:br/>
        <w:t xml:space="preserve">  entry_state,</w:t>
        <w:br/>
        <w:t xml:space="preserve">  expected_move_range,</w:t>
        <w:br/>
        <w:t xml:space="preserve">  invalidation,</w:t>
        <w:br/>
        <w:t xml:space="preserve">  evidence_summary,</w:t>
        <w:br/>
        <w:t xml:space="preserve">  agent_votes,</w:t>
        <w:br/>
        <w:t xml:space="preserve">  disagreement,</w:t>
        <w:br/>
        <w:t xml:space="preserve">  as_of,</w:t>
        <w:br/>
        <w:t xml:space="preserve">  expires_at</w:t>
        <w:br/>
        <w:t>}</w:t>
      </w:r>
    </w:p>
    <w:p>
      <w:pPr>
        <w:pStyle w:val="CodeCompact"/>
      </w:pPr>
      <w:r>
        <w:t>PositionAssessment</w:t>
        <w:br/>
        <w:t>{</w:t>
        <w:br/>
        <w:t xml:space="preserve">  position_id,</w:t>
        <w:br/>
        <w:t xml:space="preserve">  underlying,</w:t>
        <w:br/>
        <w:t xml:space="preserve">  instrument,</w:t>
        <w:br/>
        <w:t xml:space="preserve">  current_pnl,</w:t>
        <w:br/>
        <w:t xml:space="preserve">  action,</w:t>
        <w:br/>
        <w:t xml:space="preserve">  strength,</w:t>
        <w:br/>
        <w:t xml:space="preserve">  confidence,</w:t>
        <w:br/>
        <w:t xml:space="preserve">  forward_view,</w:t>
        <w:br/>
        <w:t xml:space="preserve">  invalidation_or_exit_trigger,</w:t>
        <w:br/>
        <w:t xml:space="preserve">  evidence_summary,</w:t>
        <w:br/>
        <w:t xml:space="preserve">  changed_since_previous,</w:t>
        <w:br/>
        <w:t xml:space="preserve">  as_of,</w:t>
        <w:br/>
        <w:t xml:space="preserve">  expires_at</w:t>
        <w:br/>
        <w:t>}</w:t>
      </w:r>
    </w:p>
    <w:p>
      <w:pPr>
        <w:pStyle w:val="CodeCompact"/>
      </w:pPr>
      <w:r>
        <w:t>AgentDecisionBundle</w:t>
        <w:br/>
        <w:t>{</w:t>
        <w:br/>
        <w:t xml:space="preserve">  request_id,</w:t>
        <w:br/>
        <w:t xml:space="preserve">  subject_id,</w:t>
        <w:br/>
        <w:t xml:space="preserve">  horizon,</w:t>
        <w:br/>
        <w:t xml:space="preserve">  specialist_opinions[],</w:t>
        <w:br/>
        <w:t xml:space="preserve">  consensus,</w:t>
        <w:br/>
        <w:t xml:space="preserve">  disagreement,</w:t>
        <w:br/>
        <w:t xml:space="preserve">  confidence,</w:t>
        <w:br/>
        <w:t xml:space="preserve">  recommendation,</w:t>
        <w:br/>
        <w:t xml:space="preserve">  provenance[],</w:t>
        <w:br/>
        <w:t xml:space="preserve">  data_snapshot_id,</w:t>
        <w:br/>
        <w:t xml:space="preserve">  created_at,</w:t>
        <w:br/>
        <w:t xml:space="preserve">  valid_until</w:t>
        <w:br/>
        <w:t>}</w:t>
      </w:r>
    </w:p>
    <w:p>
      <w:pPr>
        <w:pStyle w:val="Heading1"/>
      </w:pPr>
      <w:r>
        <w:t>18. Provenance and Auditability</w:t>
      </w:r>
    </w:p>
    <w:p>
      <w:r>
        <w:t>Every recommendation should be reconstructable enough to determine what was known when the decision was made. This is essential for judging whether the system is genuinely adding value.</w:t>
      </w:r>
    </w:p>
    <w:p>
      <w:pPr>
        <w:pStyle w:val="ListBullet"/>
        <w:spacing w:after="20"/>
      </w:pPr>
      <w:r>
        <w:t>Data snapshot identifier and timestamps.</w:t>
      </w:r>
    </w:p>
    <w:p>
      <w:pPr>
        <w:pStyle w:val="ListBullet"/>
        <w:spacing w:after="20"/>
      </w:pPr>
      <w:r>
        <w:t>Source URLs/IDs or broker-data identifiers where applicable.</w:t>
      </w:r>
    </w:p>
    <w:p>
      <w:pPr>
        <w:pStyle w:val="ListBullet"/>
        <w:spacing w:after="20"/>
      </w:pPr>
      <w:r>
        <w:t>Specialist agent version/model/prompt policy version.</w:t>
      </w:r>
    </w:p>
    <w:p>
      <w:pPr>
        <w:pStyle w:val="ListBullet"/>
        <w:spacing w:after="20"/>
      </w:pPr>
      <w:r>
        <w:t>Agent opinion, confidence and evidence.</w:t>
      </w:r>
    </w:p>
    <w:p>
      <w:pPr>
        <w:pStyle w:val="ListBullet"/>
        <w:spacing w:after="20"/>
      </w:pPr>
      <w:r>
        <w:t>Arbitration result and disagreement.</w:t>
      </w:r>
    </w:p>
    <w:p>
      <w:pPr>
        <w:pStyle w:val="ListBullet"/>
        <w:spacing w:after="20"/>
      </w:pPr>
      <w:r>
        <w:t>Recommendation expiry / freshness.</w:t>
      </w:r>
    </w:p>
    <w:p>
      <w:pPr>
        <w:pStyle w:val="ListBullet"/>
        <w:spacing w:after="20"/>
      </w:pPr>
      <w:r>
        <w:t>What TradeMonitor/user ultimately did.</w:t>
      </w:r>
    </w:p>
    <w:p>
      <w:pPr>
        <w:pStyle w:val="ListBullet"/>
        <w:spacing w:after="20"/>
      </w:pPr>
      <w:r>
        <w:t>What subsequently happened to the underlying and option.</w:t>
      </w:r>
    </w:p>
    <w:p>
      <w:pPr>
        <w:pStyle w:val="Heading1"/>
      </w:pPr>
      <w:r>
        <w:t>19. Evaluation: Prove Intelligence, Do Not Assume It</w:t>
      </w:r>
    </w:p>
    <w:p>
      <w:r>
        <w:t>The Agent system must be evaluated as a decision system, not as a fluent commentator. Recommendations are stored before outcomes are known and scored later.</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AF7"/>
          </w:tcPr>
          <w:p>
            <w:r/>
            <w:r>
              <w:rPr>
                <w:rFonts w:ascii="Aptos" w:hAnsi="Aptos"/>
                <w:b/>
                <w:sz w:val="17"/>
              </w:rPr>
              <w:t>Metric</w:t>
            </w:r>
          </w:p>
        </w:tc>
        <w:tc>
          <w:tcPr>
            <w:tcW w:type="dxa" w:w="7488"/>
            <w:vAlign w:val="center"/>
            <w:shd w:fill="D9EAF7"/>
          </w:tcPr>
          <w:p>
            <w:r/>
            <w:r>
              <w:rPr>
                <w:rFonts w:ascii="Aptos" w:hAnsi="Aptos"/>
                <w:b/>
                <w:sz w:val="17"/>
              </w:rPr>
              <w:t>Why it matters</w:t>
            </w:r>
          </w:p>
        </w:tc>
      </w:tr>
      <w:tr>
        <w:tc>
          <w:tcPr>
            <w:tcW w:type="dxa" w:w="2880"/>
            <w:vAlign w:val="center"/>
          </w:tcPr>
          <w:p>
            <w:r/>
            <w:r>
              <w:rPr>
                <w:rFonts w:ascii="Aptos" w:hAnsi="Aptos"/>
                <w:b w:val="0"/>
                <w:sz w:val="17"/>
              </w:rPr>
              <w:t>Expectancy / trade</w:t>
            </w:r>
          </w:p>
        </w:tc>
        <w:tc>
          <w:tcPr>
            <w:tcW w:type="dxa" w:w="7488"/>
            <w:vAlign w:val="center"/>
          </w:tcPr>
          <w:p>
            <w:r/>
            <w:r>
              <w:rPr>
                <w:rFonts w:ascii="Aptos" w:hAnsi="Aptos"/>
                <w:b w:val="0"/>
                <w:sz w:val="17"/>
              </w:rPr>
              <w:t>Primary economic quality after wins and losses.</w:t>
            </w:r>
          </w:p>
        </w:tc>
      </w:tr>
      <w:tr>
        <w:tc>
          <w:tcPr>
            <w:tcW w:type="dxa" w:w="2880"/>
            <w:vAlign w:val="center"/>
          </w:tcPr>
          <w:p>
            <w:r/>
            <w:r>
              <w:rPr>
                <w:rFonts w:ascii="Aptos" w:hAnsi="Aptos"/>
                <w:b w:val="0"/>
                <w:sz w:val="17"/>
              </w:rPr>
              <w:t>Profit factor</w:t>
            </w:r>
          </w:p>
        </w:tc>
        <w:tc>
          <w:tcPr>
            <w:tcW w:type="dxa" w:w="7488"/>
            <w:vAlign w:val="center"/>
          </w:tcPr>
          <w:p>
            <w:r/>
            <w:r>
              <w:rPr>
                <w:rFonts w:ascii="Aptos" w:hAnsi="Aptos"/>
                <w:b w:val="0"/>
                <w:sz w:val="17"/>
              </w:rPr>
              <w:t>Gross profit relative to gross loss.</w:t>
            </w:r>
          </w:p>
        </w:tc>
      </w:tr>
      <w:tr>
        <w:tc>
          <w:tcPr>
            <w:tcW w:type="dxa" w:w="2880"/>
            <w:vAlign w:val="center"/>
          </w:tcPr>
          <w:p>
            <w:r/>
            <w:r>
              <w:rPr>
                <w:rFonts w:ascii="Aptos" w:hAnsi="Aptos"/>
                <w:b w:val="0"/>
                <w:sz w:val="17"/>
              </w:rPr>
              <w:t>Maximum drawdown</w:t>
            </w:r>
          </w:p>
        </w:tc>
        <w:tc>
          <w:tcPr>
            <w:tcW w:type="dxa" w:w="7488"/>
            <w:vAlign w:val="center"/>
          </w:tcPr>
          <w:p>
            <w:r/>
            <w:r>
              <w:rPr>
                <w:rFonts w:ascii="Aptos" w:hAnsi="Aptos"/>
                <w:b w:val="0"/>
                <w:sz w:val="17"/>
              </w:rPr>
              <w:t>Risk and survivability.</w:t>
            </w:r>
          </w:p>
        </w:tc>
      </w:tr>
      <w:tr>
        <w:tc>
          <w:tcPr>
            <w:tcW w:type="dxa" w:w="2880"/>
            <w:vAlign w:val="center"/>
          </w:tcPr>
          <w:p>
            <w:r/>
            <w:r>
              <w:rPr>
                <w:rFonts w:ascii="Aptos" w:hAnsi="Aptos"/>
                <w:b w:val="0"/>
                <w:sz w:val="17"/>
              </w:rPr>
              <w:t>MFE capture</w:t>
            </w:r>
          </w:p>
        </w:tc>
        <w:tc>
          <w:tcPr>
            <w:tcW w:type="dxa" w:w="7488"/>
            <w:vAlign w:val="center"/>
          </w:tcPr>
          <w:p>
            <w:r/>
            <w:r>
              <w:rPr>
                <w:rFonts w:ascii="Aptos" w:hAnsi="Aptos"/>
                <w:b w:val="0"/>
                <w:sz w:val="17"/>
              </w:rPr>
              <w:t>How much available favorable movement was realized.</w:t>
            </w:r>
          </w:p>
        </w:tc>
      </w:tr>
      <w:tr>
        <w:tc>
          <w:tcPr>
            <w:tcW w:type="dxa" w:w="2880"/>
            <w:vAlign w:val="center"/>
          </w:tcPr>
          <w:p>
            <w:r/>
            <w:r>
              <w:rPr>
                <w:rFonts w:ascii="Aptos" w:hAnsi="Aptos"/>
                <w:b w:val="0"/>
                <w:sz w:val="17"/>
              </w:rPr>
              <w:t>MAE avoided</w:t>
            </w:r>
          </w:p>
        </w:tc>
        <w:tc>
          <w:tcPr>
            <w:tcW w:type="dxa" w:w="7488"/>
            <w:vAlign w:val="center"/>
          </w:tcPr>
          <w:p>
            <w:r/>
            <w:r>
              <w:rPr>
                <w:rFonts w:ascii="Aptos" w:hAnsi="Aptos"/>
                <w:b w:val="0"/>
                <w:sz w:val="17"/>
              </w:rPr>
              <w:t>Whether exits reduced damaging adverse movement.</w:t>
            </w:r>
          </w:p>
        </w:tc>
      </w:tr>
      <w:tr>
        <w:tc>
          <w:tcPr>
            <w:tcW w:type="dxa" w:w="2880"/>
            <w:vAlign w:val="center"/>
          </w:tcPr>
          <w:p>
            <w:r/>
            <w:r>
              <w:rPr>
                <w:rFonts w:ascii="Aptos" w:hAnsi="Aptos"/>
                <w:b w:val="0"/>
                <w:sz w:val="17"/>
              </w:rPr>
              <w:t>Entry quality</w:t>
            </w:r>
          </w:p>
        </w:tc>
        <w:tc>
          <w:tcPr>
            <w:tcW w:type="dxa" w:w="7488"/>
            <w:vAlign w:val="center"/>
          </w:tcPr>
          <w:p>
            <w:r/>
            <w:r>
              <w:rPr>
                <w:rFonts w:ascii="Aptos" w:hAnsi="Aptos"/>
                <w:b w:val="0"/>
                <w:sz w:val="17"/>
              </w:rPr>
              <w:t>Forward move after recommendation vs alternatives.</w:t>
            </w:r>
          </w:p>
        </w:tc>
      </w:tr>
      <w:tr>
        <w:tc>
          <w:tcPr>
            <w:tcW w:type="dxa" w:w="2880"/>
            <w:vAlign w:val="center"/>
          </w:tcPr>
          <w:p>
            <w:r/>
            <w:r>
              <w:rPr>
                <w:rFonts w:ascii="Aptos" w:hAnsi="Aptos"/>
                <w:b w:val="0"/>
                <w:sz w:val="17"/>
              </w:rPr>
              <w:t>Exit efficiency</w:t>
            </w:r>
          </w:p>
        </w:tc>
        <w:tc>
          <w:tcPr>
            <w:tcW w:type="dxa" w:w="7488"/>
            <w:vAlign w:val="center"/>
          </w:tcPr>
          <w:p>
            <w:r/>
            <w:r>
              <w:rPr>
                <w:rFonts w:ascii="Aptos" w:hAnsi="Aptos"/>
                <w:b w:val="0"/>
                <w:sz w:val="17"/>
              </w:rPr>
              <w:t>Whether hold/book/exit advice improved realized outcome.</w:t>
            </w:r>
          </w:p>
        </w:tc>
      </w:tr>
      <w:tr>
        <w:tc>
          <w:tcPr>
            <w:tcW w:type="dxa" w:w="2880"/>
            <w:vAlign w:val="center"/>
          </w:tcPr>
          <w:p>
            <w:r/>
            <w:r>
              <w:rPr>
                <w:rFonts w:ascii="Aptos" w:hAnsi="Aptos"/>
                <w:b w:val="0"/>
                <w:sz w:val="17"/>
              </w:rPr>
              <w:t>Confidence calibration</w:t>
            </w:r>
          </w:p>
        </w:tc>
        <w:tc>
          <w:tcPr>
            <w:tcW w:type="dxa" w:w="7488"/>
            <w:vAlign w:val="center"/>
          </w:tcPr>
          <w:p>
            <w:r/>
            <w:r>
              <w:rPr>
                <w:rFonts w:ascii="Aptos" w:hAnsi="Aptos"/>
                <w:b w:val="0"/>
                <w:sz w:val="17"/>
              </w:rPr>
              <w:t>Do 80% confidence calls succeed materially more than 55% calls?</w:t>
            </w:r>
          </w:p>
        </w:tc>
      </w:tr>
      <w:tr>
        <w:tc>
          <w:tcPr>
            <w:tcW w:type="dxa" w:w="2880"/>
            <w:vAlign w:val="center"/>
          </w:tcPr>
          <w:p>
            <w:r/>
            <w:r>
              <w:rPr>
                <w:rFonts w:ascii="Aptos" w:hAnsi="Aptos"/>
                <w:b w:val="0"/>
                <w:sz w:val="17"/>
              </w:rPr>
              <w:t>Regime performance</w:t>
            </w:r>
          </w:p>
        </w:tc>
        <w:tc>
          <w:tcPr>
            <w:tcW w:type="dxa" w:w="7488"/>
            <w:vAlign w:val="center"/>
          </w:tcPr>
          <w:p>
            <w:r/>
            <w:r>
              <w:rPr>
                <w:rFonts w:ascii="Aptos" w:hAnsi="Aptos"/>
                <w:b w:val="0"/>
                <w:sz w:val="17"/>
              </w:rPr>
              <w:t>Which agents work in trend/range/event/high-volatility regimes?</w:t>
            </w:r>
          </w:p>
        </w:tc>
      </w:tr>
      <w:tr>
        <w:tc>
          <w:tcPr>
            <w:tcW w:type="dxa" w:w="2880"/>
            <w:vAlign w:val="center"/>
          </w:tcPr>
          <w:p>
            <w:r/>
            <w:r>
              <w:rPr>
                <w:rFonts w:ascii="Aptos" w:hAnsi="Aptos"/>
                <w:b w:val="0"/>
                <w:sz w:val="17"/>
              </w:rPr>
              <w:t>Human benchmark</w:t>
            </w:r>
          </w:p>
        </w:tc>
        <w:tc>
          <w:tcPr>
            <w:tcW w:type="dxa" w:w="7488"/>
            <w:vAlign w:val="center"/>
          </w:tcPr>
          <w:p>
            <w:r/>
            <w:r>
              <w:rPr>
                <w:rFonts w:ascii="Aptos" w:hAnsi="Aptos"/>
                <w:b w:val="0"/>
                <w:sz w:val="17"/>
              </w:rPr>
              <w:t>Compare agents against user/expert recommendations on identical timestamps.</w:t>
            </w:r>
          </w:p>
        </w:tc>
      </w:tr>
    </w:tbl>
    <w:p>
      <w:pPr>
        <w:spacing w:after="40"/>
      </w:pPr>
    </w:p>
    <w:p>
      <w:pPr>
        <w:pStyle w:val="Heading1"/>
      </w:pPr>
      <w:r>
        <w:t>20. Learning from Agent Performance</w:t>
      </w:r>
    </w:p>
    <w:p>
      <w:r>
        <w:t>Initially, arbitration weights should be policy-driven and conservative. After sufficient out-of-sample evidence, historical reliability can influence weighting by horizon and regime.</w:t>
      </w:r>
    </w:p>
    <w:p>
      <w:pPr>
        <w:pStyle w:val="CodeCompact"/>
      </w:pPr>
      <w:r>
        <w:t>Example future learned behavior</w:t>
        <w:br/>
        <w:br/>
        <w:t>Intraday trending regime:</w:t>
        <w:br/>
        <w:t xml:space="preserve">  Momentum       high weight</w:t>
        <w:br/>
        <w:t xml:space="preserve">  RelativeStrength high weight</w:t>
        <w:br/>
        <w:t xml:space="preserve">  Volume         high weight</w:t>
        <w:br/>
        <w:t xml:space="preserve">  Fundamentals   low weight</w:t>
        <w:br/>
        <w:br/>
        <w:t>2–6 week positional:</w:t>
        <w:br/>
        <w:t xml:space="preserve">  Structure      high weight</w:t>
        <w:br/>
        <w:t xml:space="preserve">  Sector         high weight</w:t>
        <w:br/>
        <w:t xml:space="preserve">  Fundamental    medium/high</w:t>
        <w:br/>
        <w:t xml:space="preserve">  Macro/Cycle    medium/high</w:t>
        <w:br/>
        <w:t xml:space="preserve">  5m momentum    low weight</w:t>
      </w:r>
    </w:p>
    <w:p>
      <w:pPr>
        <w:pStyle w:val="Heading1"/>
      </w:pPr>
      <w:r>
        <w:t>21. Failure Modes We Must Design For</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AF7"/>
          </w:tcPr>
          <w:p>
            <w:r/>
            <w:r>
              <w:rPr>
                <w:rFonts w:ascii="Aptos" w:hAnsi="Aptos"/>
                <w:b/>
                <w:sz w:val="17"/>
              </w:rPr>
              <w:t>Failure</w:t>
            </w:r>
          </w:p>
        </w:tc>
        <w:tc>
          <w:tcPr>
            <w:tcW w:type="dxa" w:w="7488"/>
            <w:vAlign w:val="center"/>
            <w:shd w:fill="D9EAF7"/>
          </w:tcPr>
          <w:p>
            <w:r/>
            <w:r>
              <w:rPr>
                <w:rFonts w:ascii="Aptos" w:hAnsi="Aptos"/>
                <w:b/>
                <w:sz w:val="17"/>
              </w:rPr>
              <w:t>Required response</w:t>
            </w:r>
          </w:p>
        </w:tc>
      </w:tr>
      <w:tr>
        <w:tc>
          <w:tcPr>
            <w:tcW w:type="dxa" w:w="2880"/>
            <w:vAlign w:val="center"/>
          </w:tcPr>
          <w:p>
            <w:r/>
            <w:r>
              <w:rPr>
                <w:rFonts w:ascii="Aptos" w:hAnsi="Aptos"/>
                <w:b w:val="0"/>
                <w:sz w:val="17"/>
              </w:rPr>
              <w:t>Data provider unavailable</w:t>
            </w:r>
          </w:p>
        </w:tc>
        <w:tc>
          <w:tcPr>
            <w:tcW w:type="dxa" w:w="7488"/>
            <w:vAlign w:val="center"/>
          </w:tcPr>
          <w:p>
            <w:r/>
            <w:r>
              <w:rPr>
                <w:rFonts w:ascii="Aptos" w:hAnsi="Aptos"/>
                <w:b w:val="0"/>
                <w:sz w:val="17"/>
              </w:rPr>
              <w:t>Fallback provider/cache; mark stale; downgrade confidence; do not fabricate.</w:t>
            </w:r>
          </w:p>
        </w:tc>
      </w:tr>
      <w:tr>
        <w:tc>
          <w:tcPr>
            <w:tcW w:type="dxa" w:w="2880"/>
            <w:vAlign w:val="center"/>
          </w:tcPr>
          <w:p>
            <w:r/>
            <w:r>
              <w:rPr>
                <w:rFonts w:ascii="Aptos" w:hAnsi="Aptos"/>
                <w:b w:val="0"/>
                <w:sz w:val="17"/>
              </w:rPr>
              <w:t>Conflicting prices/timestamps</w:t>
            </w:r>
          </w:p>
        </w:tc>
        <w:tc>
          <w:tcPr>
            <w:tcW w:type="dxa" w:w="7488"/>
            <w:vAlign w:val="center"/>
          </w:tcPr>
          <w:p>
            <w:r/>
            <w:r>
              <w:rPr>
                <w:rFonts w:ascii="Aptos" w:hAnsi="Aptos"/>
                <w:b w:val="0"/>
                <w:sz w:val="17"/>
              </w:rPr>
              <w:t>Resolve by provider policy and freshness; surface conflict.</w:t>
            </w:r>
          </w:p>
        </w:tc>
      </w:tr>
      <w:tr>
        <w:tc>
          <w:tcPr>
            <w:tcW w:type="dxa" w:w="2880"/>
            <w:vAlign w:val="center"/>
          </w:tcPr>
          <w:p>
            <w:r/>
            <w:r>
              <w:rPr>
                <w:rFonts w:ascii="Aptos" w:hAnsi="Aptos"/>
                <w:b w:val="0"/>
                <w:sz w:val="17"/>
              </w:rPr>
              <w:t>Agent timeout</w:t>
            </w:r>
          </w:p>
        </w:tc>
        <w:tc>
          <w:tcPr>
            <w:tcW w:type="dxa" w:w="7488"/>
            <w:vAlign w:val="center"/>
          </w:tcPr>
          <w:p>
            <w:r/>
            <w:r>
              <w:rPr>
                <w:rFonts w:ascii="Aptos" w:hAnsi="Aptos"/>
                <w:b w:val="0"/>
                <w:sz w:val="17"/>
              </w:rPr>
              <w:t>Partial decision permitted only if policy allows; otherwise WAIT/NO-ADVICE.</w:t>
            </w:r>
          </w:p>
        </w:tc>
      </w:tr>
      <w:tr>
        <w:tc>
          <w:tcPr>
            <w:tcW w:type="dxa" w:w="2880"/>
            <w:vAlign w:val="center"/>
          </w:tcPr>
          <w:p>
            <w:r/>
            <w:r>
              <w:rPr>
                <w:rFonts w:ascii="Aptos" w:hAnsi="Aptos"/>
                <w:b w:val="0"/>
                <w:sz w:val="17"/>
              </w:rPr>
              <w:t>Hallucinated fact</w:t>
            </w:r>
          </w:p>
        </w:tc>
        <w:tc>
          <w:tcPr>
            <w:tcW w:type="dxa" w:w="7488"/>
            <w:vAlign w:val="center"/>
          </w:tcPr>
          <w:p>
            <w:r/>
            <w:r>
              <w:rPr>
                <w:rFonts w:ascii="Aptos" w:hAnsi="Aptos"/>
                <w:b w:val="0"/>
                <w:sz w:val="17"/>
              </w:rPr>
              <w:t>Require evidence references for externally factual claims; reject unsupported critical claims.</w:t>
            </w:r>
          </w:p>
        </w:tc>
      </w:tr>
      <w:tr>
        <w:tc>
          <w:tcPr>
            <w:tcW w:type="dxa" w:w="2880"/>
            <w:vAlign w:val="center"/>
          </w:tcPr>
          <w:p>
            <w:r/>
            <w:r>
              <w:rPr>
                <w:rFonts w:ascii="Aptos" w:hAnsi="Aptos"/>
                <w:b w:val="0"/>
                <w:sz w:val="17"/>
              </w:rPr>
              <w:t>News overload</w:t>
            </w:r>
          </w:p>
        </w:tc>
        <w:tc>
          <w:tcPr>
            <w:tcW w:type="dxa" w:w="7488"/>
            <w:vAlign w:val="center"/>
          </w:tcPr>
          <w:p>
            <w:r/>
            <w:r>
              <w:rPr>
                <w:rFonts w:ascii="Aptos" w:hAnsi="Aptos"/>
                <w:b w:val="0"/>
                <w:sz w:val="17"/>
              </w:rPr>
              <w:t>Materiality ranking; deduplication; source-quality weighting.</w:t>
            </w:r>
          </w:p>
        </w:tc>
      </w:tr>
      <w:tr>
        <w:tc>
          <w:tcPr>
            <w:tcW w:type="dxa" w:w="2880"/>
            <w:vAlign w:val="center"/>
          </w:tcPr>
          <w:p>
            <w:r/>
            <w:r>
              <w:rPr>
                <w:rFonts w:ascii="Aptos" w:hAnsi="Aptos"/>
                <w:b w:val="0"/>
                <w:sz w:val="17"/>
              </w:rPr>
              <w:t>Agent herd behavior</w:t>
            </w:r>
          </w:p>
        </w:tc>
        <w:tc>
          <w:tcPr>
            <w:tcW w:type="dxa" w:w="7488"/>
            <w:vAlign w:val="center"/>
          </w:tcPr>
          <w:p>
            <w:r/>
            <w:r>
              <w:rPr>
                <w:rFonts w:ascii="Aptos" w:hAnsi="Aptos"/>
                <w:b w:val="0"/>
                <w:sz w:val="17"/>
              </w:rPr>
              <w:t>Independent prompts/evidence views and explicit contrarian challenge.</w:t>
            </w:r>
          </w:p>
        </w:tc>
      </w:tr>
      <w:tr>
        <w:tc>
          <w:tcPr>
            <w:tcW w:type="dxa" w:w="2880"/>
            <w:vAlign w:val="center"/>
          </w:tcPr>
          <w:p>
            <w:r/>
            <w:r>
              <w:rPr>
                <w:rFonts w:ascii="Aptos" w:hAnsi="Aptos"/>
                <w:b w:val="0"/>
                <w:sz w:val="17"/>
              </w:rPr>
              <w:t>Stale recommendation</w:t>
            </w:r>
          </w:p>
        </w:tc>
        <w:tc>
          <w:tcPr>
            <w:tcW w:type="dxa" w:w="7488"/>
            <w:vAlign w:val="center"/>
          </w:tcPr>
          <w:p>
            <w:r/>
            <w:r>
              <w:rPr>
                <w:rFonts w:ascii="Aptos" w:hAnsi="Aptos"/>
                <w:b w:val="0"/>
                <w:sz w:val="17"/>
              </w:rPr>
              <w:t>TTL enforcement; TradeMonitor rejects expired advice.</w:t>
            </w:r>
          </w:p>
        </w:tc>
      </w:tr>
      <w:tr>
        <w:tc>
          <w:tcPr>
            <w:tcW w:type="dxa" w:w="2880"/>
            <w:vAlign w:val="center"/>
          </w:tcPr>
          <w:p>
            <w:r/>
            <w:r>
              <w:rPr>
                <w:rFonts w:ascii="Aptos" w:hAnsi="Aptos"/>
                <w:b w:val="0"/>
                <w:sz w:val="17"/>
              </w:rPr>
              <w:t>Sudden market event</w:t>
            </w:r>
          </w:p>
        </w:tc>
        <w:tc>
          <w:tcPr>
            <w:tcW w:type="dxa" w:w="7488"/>
            <w:vAlign w:val="center"/>
          </w:tcPr>
          <w:p>
            <w:r/>
            <w:r>
              <w:rPr>
                <w:rFonts w:ascii="Aptos" w:hAnsi="Aptos"/>
                <w:b w:val="0"/>
                <w:sz w:val="17"/>
              </w:rPr>
              <w:t>Event-triggered reassessment and risk escalation.</w:t>
            </w:r>
          </w:p>
        </w:tc>
      </w:tr>
      <w:tr>
        <w:tc>
          <w:tcPr>
            <w:tcW w:type="dxa" w:w="2880"/>
            <w:vAlign w:val="center"/>
          </w:tcPr>
          <w:p>
            <w:r/>
            <w:r>
              <w:rPr>
                <w:rFonts w:ascii="Aptos" w:hAnsi="Aptos"/>
                <w:b w:val="0"/>
                <w:sz w:val="17"/>
              </w:rPr>
              <w:t>Option illiquidity</w:t>
            </w:r>
          </w:p>
        </w:tc>
        <w:tc>
          <w:tcPr>
            <w:tcW w:type="dxa" w:w="7488"/>
            <w:vAlign w:val="center"/>
          </w:tcPr>
          <w:p>
            <w:r/>
            <w:r>
              <w:rPr>
                <w:rFonts w:ascii="Aptos" w:hAnsi="Aptos"/>
                <w:b w:val="0"/>
                <w:sz w:val="17"/>
              </w:rPr>
              <w:t>Underlying thesis may remain valid while option trade is rejected.</w:t>
            </w:r>
          </w:p>
        </w:tc>
      </w:tr>
    </w:tbl>
    <w:p>
      <w:pPr>
        <w:spacing w:after="40"/>
      </w:pPr>
    </w:p>
    <w:p>
      <w:pPr>
        <w:pStyle w:val="Heading1"/>
      </w:pPr>
      <w:r>
        <w:t>22. Performance and Cost Architecture</w:t>
      </w:r>
    </w:p>
    <w:p>
      <w:r>
        <w:t>Deep research on every F&amp;O stock every minute is unnecessary and expensive. TIAF should progressively narrow the universe.</w:t>
      </w:r>
    </w:p>
    <w:p>
      <w:pPr>
        <w:pStyle w:val="CodeCompact"/>
      </w:pPr>
      <w:r>
        <w:t>F&amp;O universe (e.g. 150–200)</w:t>
        <w:br/>
        <w:t xml:space="preserve">        |</w:t>
        <w:br/>
        <w:t>cheap deterministic features</w:t>
        <w:br/>
        <w:t xml:space="preserve">        v</w:t>
        <w:br/>
        <w:t>candidate pool (20–40)</w:t>
        <w:br/>
        <w:t xml:space="preserve">        |</w:t>
        <w:br/>
        <w:t>fast specialist pass</w:t>
        <w:br/>
        <w:t xml:space="preserve">        v</w:t>
        <w:br/>
        <w:t>serious candidates (8–15)</w:t>
        <w:br/>
        <w:t xml:space="preserve">        |</w:t>
        <w:br/>
        <w:t>deep research / news / debate</w:t>
        <w:br/>
        <w:t xml:space="preserve">        v</w:t>
        <w:br/>
        <w:t>final opportunities (0–5)</w:t>
      </w:r>
    </w:p>
    <w:p>
      <w:r>
        <w:t>The same principle applies to position monitoring: continuous deterministic monitoring can trigger expensive Agent reassessment only when time/event/price/state conditions warrant it.</w:t>
      </w:r>
    </w:p>
    <w:p>
      <w:pPr>
        <w:pStyle w:val="Heading1"/>
      </w:pPr>
      <w:r>
        <w:t>23. Recommended Technical Architecture</w:t>
      </w:r>
    </w:p>
    <w:p>
      <w:pPr>
        <w:pStyle w:val="CodeCompact"/>
      </w:pPr>
      <w:r>
        <w:t>tiaf/</w:t>
        <w:br/>
        <w:t xml:space="preserve">  contracts/</w:t>
        <w:br/>
        <w:t xml:space="preserve">      requests.py</w:t>
        <w:br/>
        <w:t xml:space="preserve">      assessments.py</w:t>
        <w:br/>
        <w:t xml:space="preserve">      evidence.py</w:t>
        <w:br/>
        <w:t xml:space="preserve">  data/</w:t>
        <w:br/>
        <w:t xml:space="preserve">      providers/</w:t>
        <w:br/>
        <w:t xml:space="preserve">          dhan.py</w:t>
        <w:br/>
        <w:t xml:space="preserve">          zerodha.py</w:t>
        <w:br/>
        <w:t xml:space="preserve">          web.py</w:t>
        <w:br/>
        <w:t xml:space="preserve">      cache.py</w:t>
        <w:br/>
        <w:t xml:space="preserve">      normalizer.py</w:t>
        <w:br/>
        <w:t xml:space="preserve">      features.py</w:t>
        <w:br/>
        <w:t xml:space="preserve">  planner/</w:t>
        <w:br/>
        <w:t xml:space="preserve">      planner.py</w:t>
        <w:br/>
        <w:t xml:space="preserve">      policy.py</w:t>
        <w:br/>
        <w:t xml:space="preserve">  agents/</w:t>
        <w:br/>
        <w:t xml:space="preserve">      market_regime.py</w:t>
        <w:br/>
        <w:t xml:space="preserve">      sector.py</w:t>
        <w:br/>
        <w:t xml:space="preserve">      technical.py</w:t>
        <w:br/>
        <w:t xml:space="preserve">      momentum.py</w:t>
        <w:br/>
        <w:t xml:space="preserve">      volume.py</w:t>
        <w:br/>
        <w:t xml:space="preserve">      relative_strength.py</w:t>
        <w:br/>
        <w:t xml:space="preserve">      volatility.py</w:t>
        <w:br/>
        <w:t xml:space="preserve">      fundamental.py</w:t>
        <w:br/>
        <w:t xml:space="preserve">      news.py</w:t>
        <w:br/>
        <w:t xml:space="preserve">      cycle_macro.py</w:t>
        <w:br/>
        <w:t xml:space="preserve">      options.py</w:t>
        <w:br/>
        <w:t xml:space="preserve">      contrarian.py</w:t>
        <w:br/>
        <w:t xml:space="preserve">      risk.py</w:t>
        <w:br/>
        <w:t xml:space="preserve">      exit.py</w:t>
        <w:br/>
        <w:t xml:space="preserve">  arbitration/</w:t>
        <w:br/>
        <w:t xml:space="preserve">      debate.py</w:t>
        <w:br/>
        <w:t xml:space="preserve">      scorer.py</w:t>
        <w:br/>
        <w:t xml:space="preserve">      calibrator.py</w:t>
        <w:br/>
        <w:t xml:space="preserve">  workflows/</w:t>
        <w:br/>
        <w:t xml:space="preserve">      opportunity.py</w:t>
        <w:br/>
        <w:t xml:space="preserve">      position_management.py</w:t>
        <w:br/>
        <w:t xml:space="preserve">  memory/</w:t>
        <w:br/>
        <w:t xml:space="preserve">      assessment_store.py</w:t>
        <w:br/>
        <w:t xml:space="preserve">      position_context.py</w:t>
        <w:br/>
        <w:t xml:space="preserve">  evaluation/</w:t>
        <w:br/>
        <w:t xml:space="preserve">      outcomes.py</w:t>
        <w:br/>
        <w:t xml:space="preserve">      metrics.py</w:t>
        <w:br/>
        <w:t xml:space="preserve">      benchmark.py</w:t>
        <w:br/>
        <w:t xml:space="preserve">  service/</w:t>
        <w:br/>
        <w:t xml:space="preserve">      api.py</w:t>
        <w:br/>
        <w:t xml:space="preserve">      cli.py</w:t>
        <w:br/>
        <w:t xml:space="preserve">  tests/</w:t>
        <w:br/>
      </w:r>
    </w:p>
    <w:p>
      <w:r>
        <w:t>LangGraph is a suitable orchestration candidate because the workflow is naturally graph-shaped: plan, acquire evidence, fan out to specialists, challenge, arbitrate, optionally request more evidence, and finalize. However, contracts and domain logic should remain framework-independent so orchestration technology can be replaced without rewriting the system.</w:t>
      </w:r>
    </w:p>
    <w:p>
      <w:pPr>
        <w:pStyle w:val="Heading1"/>
      </w:pPr>
      <w:r>
        <w:t>24.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D9EAF7"/>
          </w:tcPr>
          <w:p>
            <w:r/>
            <w:r>
              <w:rPr>
                <w:rFonts w:ascii="Aptos" w:hAnsi="Aptos"/>
                <w:b/>
                <w:sz w:val="17"/>
              </w:rPr>
              <w:t>Stage</w:t>
            </w:r>
          </w:p>
        </w:tc>
        <w:tc>
          <w:tcPr>
            <w:tcW w:type="dxa" w:w="5472"/>
            <w:vAlign w:val="center"/>
            <w:shd w:fill="D9EAF7"/>
          </w:tcPr>
          <w:p>
            <w:r/>
            <w:r>
              <w:rPr>
                <w:rFonts w:ascii="Aptos" w:hAnsi="Aptos"/>
                <w:b/>
                <w:sz w:val="17"/>
              </w:rPr>
              <w:t>Goal</w:t>
            </w:r>
          </w:p>
        </w:tc>
        <w:tc>
          <w:tcPr>
            <w:tcW w:type="dxa" w:w="3456"/>
            <w:vAlign w:val="center"/>
            <w:shd w:fill="D9EAF7"/>
          </w:tcPr>
          <w:p>
            <w:r/>
            <w:r>
              <w:rPr>
                <w:rFonts w:ascii="Aptos" w:hAnsi="Aptos"/>
                <w:b/>
                <w:sz w:val="17"/>
              </w:rPr>
              <w:t>Acceptance signal</w:t>
            </w:r>
          </w:p>
        </w:tc>
      </w:tr>
      <w:tr>
        <w:tc>
          <w:tcPr>
            <w:tcW w:type="dxa" w:w="1872"/>
            <w:vAlign w:val="center"/>
          </w:tcPr>
          <w:p>
            <w:r/>
            <w:r>
              <w:rPr>
                <w:rFonts w:ascii="Aptos" w:hAnsi="Aptos"/>
                <w:b w:val="0"/>
                <w:sz w:val="17"/>
              </w:rPr>
              <w:t>A0 — Contracts</w:t>
            </w:r>
          </w:p>
        </w:tc>
        <w:tc>
          <w:tcPr>
            <w:tcW w:type="dxa" w:w="5472"/>
            <w:vAlign w:val="center"/>
          </w:tcPr>
          <w:p>
            <w:r/>
            <w:r>
              <w:rPr>
                <w:rFonts w:ascii="Aptos" w:hAnsi="Aptos"/>
                <w:b w:val="0"/>
                <w:sz w:val="17"/>
              </w:rPr>
              <w:t>Define requests, evidence, assessments, agent opinions, provenance.</w:t>
            </w:r>
          </w:p>
        </w:tc>
        <w:tc>
          <w:tcPr>
            <w:tcW w:type="dxa" w:w="3456"/>
            <w:vAlign w:val="center"/>
          </w:tcPr>
          <w:p>
            <w:r/>
            <w:r>
              <w:rPr>
                <w:rFonts w:ascii="Aptos" w:hAnsi="Aptos"/>
                <w:b w:val="0"/>
                <w:sz w:val="17"/>
              </w:rPr>
              <w:t>Schemas versioned; serialization tests pass.</w:t>
            </w:r>
          </w:p>
        </w:tc>
      </w:tr>
      <w:tr>
        <w:tc>
          <w:tcPr>
            <w:tcW w:type="dxa" w:w="1872"/>
            <w:vAlign w:val="center"/>
          </w:tcPr>
          <w:p>
            <w:r/>
            <w:r>
              <w:rPr>
                <w:rFonts w:ascii="Aptos" w:hAnsi="Aptos"/>
                <w:b w:val="0"/>
                <w:sz w:val="17"/>
              </w:rPr>
              <w:t>A1 — Data Foundation</w:t>
            </w:r>
          </w:p>
        </w:tc>
        <w:tc>
          <w:tcPr>
            <w:tcW w:type="dxa" w:w="5472"/>
            <w:vAlign w:val="center"/>
          </w:tcPr>
          <w:p>
            <w:r/>
            <w:r>
              <w:rPr>
                <w:rFonts w:ascii="Aptos" w:hAnsi="Aptos"/>
                <w:b w:val="0"/>
                <w:sz w:val="17"/>
              </w:rPr>
              <w:t>Dhan/Zerodha adapters, cache, OHLCV, derived features, snapshot timestamps.</w:t>
            </w:r>
          </w:p>
        </w:tc>
        <w:tc>
          <w:tcPr>
            <w:tcW w:type="dxa" w:w="3456"/>
            <w:vAlign w:val="center"/>
          </w:tcPr>
          <w:p>
            <w:r/>
            <w:r>
              <w:rPr>
                <w:rFonts w:ascii="Aptos" w:hAnsi="Aptos"/>
                <w:b w:val="0"/>
                <w:sz w:val="17"/>
              </w:rPr>
              <w:t>Same request produces internally consistent AnalysisContext.</w:t>
            </w:r>
          </w:p>
        </w:tc>
      </w:tr>
      <w:tr>
        <w:tc>
          <w:tcPr>
            <w:tcW w:type="dxa" w:w="1872"/>
            <w:vAlign w:val="center"/>
          </w:tcPr>
          <w:p>
            <w:r/>
            <w:r>
              <w:rPr>
                <w:rFonts w:ascii="Aptos" w:hAnsi="Aptos"/>
                <w:b w:val="0"/>
                <w:sz w:val="17"/>
              </w:rPr>
              <w:t>A2 — Deterministic Baseline</w:t>
            </w:r>
          </w:p>
        </w:tc>
        <w:tc>
          <w:tcPr>
            <w:tcW w:type="dxa" w:w="5472"/>
            <w:vAlign w:val="center"/>
          </w:tcPr>
          <w:p>
            <w:r/>
            <w:r>
              <w:rPr>
                <w:rFonts w:ascii="Aptos" w:hAnsi="Aptos"/>
                <w:b w:val="0"/>
                <w:sz w:val="17"/>
              </w:rPr>
              <w:t>Non-AI ranking using price/volume/ATR/RS/volatility.</w:t>
            </w:r>
          </w:p>
        </w:tc>
        <w:tc>
          <w:tcPr>
            <w:tcW w:type="dxa" w:w="3456"/>
            <w:vAlign w:val="center"/>
          </w:tcPr>
          <w:p>
            <w:r/>
            <w:r>
              <w:rPr>
                <w:rFonts w:ascii="Aptos" w:hAnsi="Aptos"/>
                <w:b w:val="0"/>
                <w:sz w:val="17"/>
              </w:rPr>
              <w:t>Creates benchmark Agents must beat.</w:t>
            </w:r>
          </w:p>
        </w:tc>
      </w:tr>
      <w:tr>
        <w:tc>
          <w:tcPr>
            <w:tcW w:type="dxa" w:w="1872"/>
            <w:vAlign w:val="center"/>
          </w:tcPr>
          <w:p>
            <w:r/>
            <w:r>
              <w:rPr>
                <w:rFonts w:ascii="Aptos" w:hAnsi="Aptos"/>
                <w:b w:val="0"/>
                <w:sz w:val="17"/>
              </w:rPr>
              <w:t>A3 — Specialist Agent MVP</w:t>
            </w:r>
          </w:p>
        </w:tc>
        <w:tc>
          <w:tcPr>
            <w:tcW w:type="dxa" w:w="5472"/>
            <w:vAlign w:val="center"/>
          </w:tcPr>
          <w:p>
            <w:r/>
            <w:r>
              <w:rPr>
                <w:rFonts w:ascii="Aptos" w:hAnsi="Aptos"/>
                <w:b w:val="0"/>
                <w:sz w:val="17"/>
              </w:rPr>
              <w:t>Technical, sector, news, risk, contrarian, arbitrator.</w:t>
            </w:r>
          </w:p>
        </w:tc>
        <w:tc>
          <w:tcPr>
            <w:tcW w:type="dxa" w:w="3456"/>
            <w:vAlign w:val="center"/>
          </w:tcPr>
          <w:p>
            <w:r/>
            <w:r>
              <w:rPr>
                <w:rFonts w:ascii="Aptos" w:hAnsi="Aptos"/>
                <w:b w:val="0"/>
                <w:sz w:val="17"/>
              </w:rPr>
              <w:t>Top-N and NO-TRADE decisions with evidence.</w:t>
            </w:r>
          </w:p>
        </w:tc>
      </w:tr>
      <w:tr>
        <w:tc>
          <w:tcPr>
            <w:tcW w:type="dxa" w:w="1872"/>
            <w:vAlign w:val="center"/>
          </w:tcPr>
          <w:p>
            <w:r/>
            <w:r>
              <w:rPr>
                <w:rFonts w:ascii="Aptos" w:hAnsi="Aptos"/>
                <w:b w:val="0"/>
                <w:sz w:val="17"/>
              </w:rPr>
              <w:t>A4 — Position Intelligence MVP</w:t>
            </w:r>
          </w:p>
        </w:tc>
        <w:tc>
          <w:tcPr>
            <w:tcW w:type="dxa" w:w="5472"/>
            <w:vAlign w:val="center"/>
          </w:tcPr>
          <w:p>
            <w:r/>
            <w:r>
              <w:rPr>
                <w:rFonts w:ascii="Aptos" w:hAnsi="Aptos"/>
                <w:b w:val="0"/>
                <w:sz w:val="17"/>
              </w:rPr>
              <w:t>Adopted position -&gt; HOLD/PROTECT/BOOK/EXIT.</w:t>
            </w:r>
          </w:p>
        </w:tc>
        <w:tc>
          <w:tcPr>
            <w:tcW w:type="dxa" w:w="3456"/>
            <w:vAlign w:val="center"/>
          </w:tcPr>
          <w:p>
            <w:r/>
            <w:r>
              <w:rPr>
                <w:rFonts w:ascii="Aptos" w:hAnsi="Aptos"/>
                <w:b w:val="0"/>
                <w:sz w:val="17"/>
              </w:rPr>
              <w:t>Stateful reassessment and change explanation.</w:t>
            </w:r>
          </w:p>
        </w:tc>
      </w:tr>
      <w:tr>
        <w:tc>
          <w:tcPr>
            <w:tcW w:type="dxa" w:w="1872"/>
            <w:vAlign w:val="center"/>
          </w:tcPr>
          <w:p>
            <w:r/>
            <w:r>
              <w:rPr>
                <w:rFonts w:ascii="Aptos" w:hAnsi="Aptos"/>
                <w:b w:val="0"/>
                <w:sz w:val="17"/>
              </w:rPr>
              <w:t>A5 — Option Expression</w:t>
            </w:r>
          </w:p>
        </w:tc>
        <w:tc>
          <w:tcPr>
            <w:tcW w:type="dxa" w:w="5472"/>
            <w:vAlign w:val="center"/>
          </w:tcPr>
          <w:p>
            <w:r/>
            <w:r>
              <w:rPr>
                <w:rFonts w:ascii="Aptos" w:hAnsi="Aptos"/>
                <w:b w:val="0"/>
                <w:sz w:val="17"/>
              </w:rPr>
              <w:t>Underlying view -&gt; expiry/strike/CE/PE/no-option.</w:t>
            </w:r>
          </w:p>
        </w:tc>
        <w:tc>
          <w:tcPr>
            <w:tcW w:type="dxa" w:w="3456"/>
            <w:vAlign w:val="center"/>
          </w:tcPr>
          <w:p>
            <w:r/>
            <w:r>
              <w:rPr>
                <w:rFonts w:ascii="Aptos" w:hAnsi="Aptos"/>
                <w:b w:val="0"/>
                <w:sz w:val="17"/>
              </w:rPr>
              <w:t>Liquidity/IV/theta-aware contract selection.</w:t>
            </w:r>
          </w:p>
        </w:tc>
      </w:tr>
      <w:tr>
        <w:tc>
          <w:tcPr>
            <w:tcW w:type="dxa" w:w="1872"/>
            <w:vAlign w:val="center"/>
          </w:tcPr>
          <w:p>
            <w:r/>
            <w:r>
              <w:rPr>
                <w:rFonts w:ascii="Aptos" w:hAnsi="Aptos"/>
                <w:b w:val="0"/>
                <w:sz w:val="17"/>
              </w:rPr>
              <w:t>A6 — Evaluation Harness</w:t>
            </w:r>
          </w:p>
        </w:tc>
        <w:tc>
          <w:tcPr>
            <w:tcW w:type="dxa" w:w="5472"/>
            <w:vAlign w:val="center"/>
          </w:tcPr>
          <w:p>
            <w:r/>
            <w:r>
              <w:rPr>
                <w:rFonts w:ascii="Aptos" w:hAnsi="Aptos"/>
                <w:b w:val="0"/>
                <w:sz w:val="17"/>
              </w:rPr>
              <w:t>Outcome capture, MFE/MAE, calibration, human comparison.</w:t>
            </w:r>
          </w:p>
        </w:tc>
        <w:tc>
          <w:tcPr>
            <w:tcW w:type="dxa" w:w="3456"/>
            <w:vAlign w:val="center"/>
          </w:tcPr>
          <w:p>
            <w:r/>
            <w:r>
              <w:rPr>
                <w:rFonts w:ascii="Aptos" w:hAnsi="Aptos"/>
                <w:b w:val="0"/>
                <w:sz w:val="17"/>
              </w:rPr>
              <w:t>Agent value measured rather than assumed.</w:t>
            </w:r>
          </w:p>
        </w:tc>
      </w:tr>
      <w:tr>
        <w:tc>
          <w:tcPr>
            <w:tcW w:type="dxa" w:w="1872"/>
            <w:vAlign w:val="center"/>
          </w:tcPr>
          <w:p>
            <w:r/>
            <w:r>
              <w:rPr>
                <w:rFonts w:ascii="Aptos" w:hAnsi="Aptos"/>
                <w:b w:val="0"/>
                <w:sz w:val="17"/>
              </w:rPr>
              <w:t>A7 — TM Integration</w:t>
            </w:r>
          </w:p>
        </w:tc>
        <w:tc>
          <w:tcPr>
            <w:tcW w:type="dxa" w:w="5472"/>
            <w:vAlign w:val="center"/>
          </w:tcPr>
          <w:p>
            <w:r/>
            <w:r>
              <w:rPr>
                <w:rFonts w:ascii="Aptos" w:hAnsi="Aptos"/>
                <w:b w:val="0"/>
                <w:sz w:val="17"/>
              </w:rPr>
              <w:t>Stable TIAF service consumed by TradeMonitor.</w:t>
            </w:r>
          </w:p>
        </w:tc>
        <w:tc>
          <w:tcPr>
            <w:tcW w:type="dxa" w:w="3456"/>
            <w:vAlign w:val="center"/>
          </w:tcPr>
          <w:p>
            <w:r/>
            <w:r>
              <w:rPr>
                <w:rFonts w:ascii="Aptos" w:hAnsi="Aptos"/>
                <w:b w:val="0"/>
                <w:sz w:val="17"/>
              </w:rPr>
              <w:t>Advice flows into TM without broker authority leakage.</w:t>
            </w:r>
          </w:p>
        </w:tc>
      </w:tr>
      <w:tr>
        <w:tc>
          <w:tcPr>
            <w:tcW w:type="dxa" w:w="1872"/>
            <w:vAlign w:val="center"/>
          </w:tcPr>
          <w:p>
            <w:r/>
            <w:r>
              <w:rPr>
                <w:rFonts w:ascii="Aptos" w:hAnsi="Aptos"/>
                <w:b w:val="0"/>
                <w:sz w:val="17"/>
              </w:rPr>
              <w:t>A8 — Scanner Integration</w:t>
            </w:r>
          </w:p>
        </w:tc>
        <w:tc>
          <w:tcPr>
            <w:tcW w:type="dxa" w:w="5472"/>
            <w:vAlign w:val="center"/>
          </w:tcPr>
          <w:p>
            <w:r/>
            <w:r>
              <w:rPr>
                <w:rFonts w:ascii="Aptos" w:hAnsi="Aptos"/>
                <w:b w:val="0"/>
                <w:sz w:val="17"/>
              </w:rPr>
              <w:t>Day/Pos scanner consume opportunity intelligence.</w:t>
            </w:r>
          </w:p>
        </w:tc>
        <w:tc>
          <w:tcPr>
            <w:tcW w:type="dxa" w:w="3456"/>
            <w:vAlign w:val="center"/>
          </w:tcPr>
          <w:p>
            <w:r/>
            <w:r>
              <w:rPr>
                <w:rFonts w:ascii="Aptos" w:hAnsi="Aptos"/>
                <w:b w:val="0"/>
                <w:sz w:val="17"/>
              </w:rPr>
              <w:t>Early-opportunity ranking coexists with surface mover ranking.</w:t>
            </w:r>
          </w:p>
        </w:tc>
      </w:tr>
      <w:tr>
        <w:tc>
          <w:tcPr>
            <w:tcW w:type="dxa" w:w="1872"/>
            <w:vAlign w:val="center"/>
          </w:tcPr>
          <w:p>
            <w:r/>
            <w:r>
              <w:rPr>
                <w:rFonts w:ascii="Aptos" w:hAnsi="Aptos"/>
                <w:b w:val="0"/>
                <w:sz w:val="17"/>
              </w:rPr>
              <w:t>A9 — Production Hardening</w:t>
            </w:r>
          </w:p>
        </w:tc>
        <w:tc>
          <w:tcPr>
            <w:tcW w:type="dxa" w:w="5472"/>
            <w:vAlign w:val="center"/>
          </w:tcPr>
          <w:p>
            <w:r/>
            <w:r>
              <w:rPr>
                <w:rFonts w:ascii="Aptos" w:hAnsi="Aptos"/>
                <w:b w:val="0"/>
                <w:sz w:val="17"/>
              </w:rPr>
              <w:t>Retries, rate limits, model/provider fallback, monitoring, versioning.</w:t>
            </w:r>
          </w:p>
        </w:tc>
        <w:tc>
          <w:tcPr>
            <w:tcW w:type="dxa" w:w="3456"/>
            <w:vAlign w:val="center"/>
          </w:tcPr>
          <w:p>
            <w:r/>
            <w:r>
              <w:rPr>
                <w:rFonts w:ascii="Aptos" w:hAnsi="Aptos"/>
                <w:b w:val="0"/>
                <w:sz w:val="17"/>
              </w:rPr>
              <w:t>Long-running service survives provider/agent failures.</w:t>
            </w:r>
          </w:p>
        </w:tc>
      </w:tr>
    </w:tbl>
    <w:p>
      <w:pPr>
        <w:spacing w:after="40"/>
      </w:pPr>
    </w:p>
    <w:p>
      <w:pPr>
        <w:pStyle w:val="Heading1"/>
      </w:pPr>
      <w:r>
        <w:t>25. First Implementation Slice</w:t>
      </w:r>
    </w:p>
    <w:p>
      <w:r>
        <w:t>The first coding target should not attempt the entire vision. It should prove the architecture with a small but real workflow:</w:t>
      </w:r>
    </w:p>
    <w:p>
      <w:pPr>
        <w:pStyle w:val="CodeCompact"/>
      </w:pPr>
      <w:r>
        <w:t>Input:</w:t>
        <w:br/>
        <w:t xml:space="preserve">  10–20 F&amp;O symbols</w:t>
        <w:br/>
        <w:t xml:space="preserve">  horizon = DAY or POSITIONAL</w:t>
        <w:br/>
        <w:t xml:space="preserve">  direction = BOTH</w:t>
        <w:br/>
        <w:br/>
        <w:t>Data:</w:t>
        <w:br/>
        <w:t xml:space="preserve">  Dhan/Zerodha OHLCV + quotes</w:t>
        <w:br/>
        <w:t xml:space="preserve">  deterministic features</w:t>
        <w:br/>
        <w:t xml:space="preserve">  current market/sector context</w:t>
        <w:br/>
        <w:t xml:space="preserve">  recent material news</w:t>
        <w:br/>
        <w:br/>
        <w:t>Agents:</w:t>
        <w:br/>
        <w:t xml:space="preserve">  Technical</w:t>
        <w:br/>
        <w:t xml:space="preserve">  Relative Strength</w:t>
        <w:br/>
        <w:t xml:space="preserve">  Sector</w:t>
        <w:br/>
        <w:t xml:space="preserve">  News/Catalyst</w:t>
        <w:br/>
        <w:t xml:space="preserve">  Contrarian</w:t>
        <w:br/>
        <w:t xml:space="preserve">  Risk</w:t>
        <w:br/>
        <w:t xml:space="preserve">  Arbitrator</w:t>
        <w:br/>
        <w:br/>
        <w:t>Output:</w:t>
        <w:br/>
        <w:t xml:space="preserve">  ranked 0–5 opportunities</w:t>
        <w:br/>
        <w:t xml:space="preserve">  CE / PE / WAIT / NO TRADE</w:t>
        <w:br/>
        <w:t xml:space="preserve">  confidence</w:t>
        <w:br/>
        <w:t xml:space="preserve">  expected remaining move</w:t>
        <w:br/>
        <w:t xml:space="preserve">  invalidation</w:t>
        <w:br/>
        <w:t xml:space="preserve">  evidence and disagreement</w:t>
        <w:br/>
        <w:br/>
        <w:t>No broker execution.</w:t>
      </w:r>
    </w:p>
    <w:p>
      <w:r>
        <w:t>The second slice should add the adopted-position workflow. The third should add option-expression analysis. Only after these are demonstrably useful should the service be connected to TradeMonitor for operational decisions.</w:t>
      </w:r>
    </w:p>
    <w:p>
      <w:pPr>
        <w:pStyle w:val="Heading1"/>
      </w:pPr>
      <w:r>
        <w:t>26. Human Role</w:t>
      </w:r>
    </w:p>
    <w:p>
      <w:r>
        <w:t>The human role is not to manually perform every analysis. The human supplies judgment where it is most valuable: validating whether system conclusions make sense, identifying missing forms of context, defining unacceptable risk, and serving as a benchmark while the system earns trust.</w:t>
      </w:r>
    </w:p>
    <w:p>
      <w:pPr>
        <w:pStyle w:val="ListBullet"/>
        <w:spacing w:after="20"/>
      </w:pPr>
      <w:r>
        <w:t>Provide insights and domain intuition that reveal missing agent responsibilities.</w:t>
      </w:r>
    </w:p>
    <w:p>
      <w:pPr>
        <w:pStyle w:val="ListBullet"/>
        <w:spacing w:after="20"/>
      </w:pPr>
      <w:r>
        <w:t>Review disagreement and high-impact recommendations during SEMI_AUTO phases.</w:t>
      </w:r>
    </w:p>
    <w:p>
      <w:pPr>
        <w:pStyle w:val="ListBullet"/>
        <w:spacing w:after="20"/>
      </w:pPr>
      <w:r>
        <w:t>Label obvious analytical failures and ambiguous cases.</w:t>
      </w:r>
    </w:p>
    <w:p>
      <w:pPr>
        <w:pStyle w:val="ListBullet"/>
        <w:spacing w:after="20"/>
      </w:pPr>
      <w:r>
        <w:t>Compare human decision vs Agent decision vs actual outcome.</w:t>
      </w:r>
    </w:p>
    <w:p>
      <w:pPr>
        <w:pStyle w:val="ListBullet"/>
        <w:spacing w:after="20"/>
      </w:pPr>
      <w:r>
        <w:t>Approve escalation from advisory to operational authority only after evidence.</w:t>
      </w:r>
    </w:p>
    <w:p>
      <w:pPr>
        <w:pStyle w:val="Heading1"/>
      </w:pPr>
      <w:r>
        <w:t>27. Definition of Success</w:t>
      </w:r>
    </w:p>
    <w:p>
      <w:r>
        <w:t>TIAF succeeds when it improves decisions, not when it produces sophisticated explanations. A practical success state is:</w:t>
      </w:r>
    </w:p>
    <w:p>
      <w:pPr>
        <w:pStyle w:val="ListBullet"/>
        <w:spacing w:after="20"/>
      </w:pPr>
      <w:r>
        <w:t>Given only an F&amp;O universe and horizon, it consistently surfaces a small set of plausible forward opportunities.</w:t>
      </w:r>
    </w:p>
    <w:p>
      <w:pPr>
        <w:pStyle w:val="ListBullet"/>
        <w:spacing w:after="20"/>
      </w:pPr>
      <w:r>
        <w:t>It finds early opportunities that simple current-mover ranking misses.</w:t>
      </w:r>
    </w:p>
    <w:p>
      <w:pPr>
        <w:pStyle w:val="ListBullet"/>
        <w:spacing w:after="20"/>
      </w:pPr>
      <w:r>
        <w:t>It can correctly decide that an apparently strong stock is mature, vulnerable, or better expressed on the PE side.</w:t>
      </w:r>
    </w:p>
    <w:p>
      <w:pPr>
        <w:pStyle w:val="ListBullet"/>
        <w:spacing w:after="20"/>
      </w:pPr>
      <w:r>
        <w:t>For adopted positions, it provides timely forward-looking HOLD/PROTECT/BOOK/EXIT advice and detects material changes.</w:t>
      </w:r>
    </w:p>
    <w:p>
      <w:pPr>
        <w:pStyle w:val="ListBullet"/>
        <w:spacing w:after="20"/>
      </w:pPr>
      <w:r>
        <w:t>Its confidence is calibrated and its performance is measurable by horizon and market regime.</w:t>
      </w:r>
    </w:p>
    <w:p>
      <w:pPr>
        <w:pStyle w:val="ListBullet"/>
        <w:spacing w:after="20"/>
      </w:pPr>
      <w:r>
        <w:t>It can operate as an independent service for TradeMonitor, scanners and third parties.</w:t>
      </w:r>
    </w:p>
    <w:p>
      <w:pPr>
        <w:pStyle w:val="ListBullet"/>
        <w:spacing w:after="20"/>
      </w:pPr>
      <w:r>
        <w:t>It never gains direct broker authority; TradeMonitor remains the execution governor.</w:t>
      </w:r>
    </w:p>
    <w:p>
      <w:pPr>
        <w:pStyle w:val="Heading1"/>
      </w:pPr>
      <w:r>
        <w:t>28. Architectural Decision</w:t>
      </w:r>
    </w:p>
    <w:p>
      <w:r>
        <w:rPr>
          <w:b/>
        </w:rPr>
        <w:t>Proceed with implementation. The architecture is sufficiently clear to begin A0–A2 without requiring further conceptual discussion. Human input should now be used as design feedback and validation, not as a prerequisite for starting.</w:t>
      </w:r>
    </w:p>
    <w:p>
      <w:r>
        <w:t>The first objective is not to build an autonomous trading oracle. It is to build a disciplined, testable intelligence fabric whose recommendations can be compared against deterministic baselines and human judgment. If the evidence demonstrates superior decision quality, TradeMonitor can progressively grant more operational responsibility.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&amp; Implementation Thesis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TIAF — Trading Intelligence Agent Fabric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ompact">
    <w:name w:val="Code Compact"/>
    <w:pPr>
      <w:spacing w:before="60" w:after="6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