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sz w:val="60"/>
        </w:rPr>
        <w:t>TradingIntelligence</w:t>
      </w:r>
    </w:p>
    <w:p>
      <w:pPr>
        <w:jc w:val="center"/>
      </w:pPr>
      <w:r>
        <w:rPr>
          <w:b/>
          <w:sz w:val="38"/>
        </w:rPr>
        <w:t>TIAF Implementation Roadmap</w:t>
      </w:r>
    </w:p>
    <w:p>
      <w:pPr>
        <w:jc w:val="center"/>
      </w:pPr>
      <w:r>
        <w:rPr>
          <w:i/>
          <w:sz w:val="26"/>
        </w:rPr>
        <w:t>Trading Intelligence Agent Fabric</w:t>
      </w:r>
    </w:p>
    <w:p/>
    <w:p>
      <w:pPr>
        <w:jc w:val="center"/>
      </w:pPr>
      <w:r>
        <w:rPr>
          <w:sz w:val="21"/>
        </w:rPr>
        <w:t>A staged engineering plan for opportunity intelligence, position intelligence, option expression, evaluation, TradeMonitor integration, and scanner integration.</w:t>
      </w:r>
    </w:p>
    <w:p/>
    <w:p>
      <w:pPr>
        <w:jc w:val="center"/>
      </w:pPr>
      <w:r>
        <w:rPr>
          <w:b/>
        </w:rPr>
        <w:t>Status: Approved for implementation</w:t>
      </w:r>
    </w:p>
    <w:p>
      <w:pPr>
        <w:jc w:val="center"/>
      </w:pPr>
      <w:r>
        <w:t>Baseline date: 5 September 2026</w:t>
      </w:r>
    </w:p>
    <w:p>
      <w:r>
        <w:br w:type="page"/>
      </w:r>
    </w:p>
    <w:p>
      <w:pPr>
        <w:pStyle w:val="Heading1"/>
      </w:pPr>
      <w:r>
        <w:t>1. Roadmap Objective</w:t>
      </w:r>
    </w:p>
    <w:p>
      <w:r>
        <w:t>This roadmap converts the approved TIAF thesis into an implementation sequence. The goal is to build a reliable intelligence service that can receive only an F&amp;O watchlist if necessary, collect and derive its own evidence, evaluate opportunities for a requested horizon, select CE/PE/WAIT/NO-TRADE, evaluate option expression, and continuously manage already-open positions through structured advice.</w:t>
      </w:r>
    </w:p>
    <w:p>
      <w:r>
        <w:t>The roadmap deliberately avoids a 'big bang' implementation. Each stage must leave behind working code, tests, versioned contracts, reproducible outputs, and a clear acceptance gate before the next stage begins.</w:t>
      </w:r>
    </w:p>
    <w:p>
      <w:pPr>
        <w:pStyle w:val="Heading1"/>
      </w:pPr>
      <w:r>
        <w:t>2. Project Identity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6"/>
              </w:rPr>
              <w:t>Item</w:t>
            </w:r>
          </w:p>
        </w:tc>
        <w:tc>
          <w:tcPr>
            <w:tcW w:type="dxa" w:w="5112"/>
            <w:vAlign w:val="center"/>
            <w:shd w:fill="D9EAF7"/>
          </w:tcPr>
          <w:p>
            <w:pPr>
              <w:spacing w:after="0"/>
            </w:pPr>
            <w:r/>
            <w:r>
              <w:rPr>
                <w:rFonts w:ascii="Aptos" w:hAnsi="Aptos"/>
                <w:b/>
                <w:sz w:val="16"/>
              </w:rPr>
              <w:t>Recommended name</w:t>
            </w:r>
          </w:p>
        </w:tc>
      </w:tr>
      <w:tr>
        <w:tc>
          <w:tcPr>
            <w:tcW w:type="dxa" w:w="5112"/>
            <w:vAlign w:val="center"/>
          </w:tcPr>
          <w:p>
            <w:pPr>
              <w:spacing w:after="0"/>
            </w:pPr>
            <w:r/>
            <w:r>
              <w:rPr>
                <w:rFonts w:ascii="Aptos" w:hAnsi="Aptos"/>
                <w:b w:val="0"/>
                <w:sz w:val="16"/>
              </w:rPr>
              <w:t>Project/product</w:t>
            </w:r>
          </w:p>
        </w:tc>
        <w:tc>
          <w:tcPr>
            <w:tcW w:type="dxa" w:w="5112"/>
            <w:vAlign w:val="center"/>
          </w:tcPr>
          <w:p>
            <w:pPr>
              <w:spacing w:after="0"/>
            </w:pPr>
            <w:r/>
            <w:r>
              <w:rPr>
                <w:rFonts w:ascii="Aptos" w:hAnsi="Aptos"/>
                <w:b w:val="0"/>
                <w:sz w:val="16"/>
              </w:rPr>
              <w:t>TradingIntelligence</w:t>
            </w:r>
          </w:p>
        </w:tc>
      </w:tr>
      <w:tr>
        <w:tc>
          <w:tcPr>
            <w:tcW w:type="dxa" w:w="5112"/>
            <w:vAlign w:val="center"/>
          </w:tcPr>
          <w:p>
            <w:pPr>
              <w:spacing w:after="0"/>
            </w:pPr>
            <w:r/>
            <w:r>
              <w:rPr>
                <w:rFonts w:ascii="Aptos" w:hAnsi="Aptos"/>
                <w:b w:val="0"/>
                <w:sz w:val="16"/>
              </w:rPr>
              <w:t>Architecture</w:t>
            </w:r>
          </w:p>
        </w:tc>
        <w:tc>
          <w:tcPr>
            <w:tcW w:type="dxa" w:w="5112"/>
            <w:vAlign w:val="center"/>
          </w:tcPr>
          <w:p>
            <w:pPr>
              <w:spacing w:after="0"/>
            </w:pPr>
            <w:r/>
            <w:r>
              <w:rPr>
                <w:rFonts w:ascii="Aptos" w:hAnsi="Aptos"/>
                <w:b w:val="0"/>
                <w:sz w:val="16"/>
              </w:rPr>
              <w:t>TIAF — Trading Intelligence Agent Fabric</w:t>
            </w:r>
          </w:p>
        </w:tc>
      </w:tr>
      <w:tr>
        <w:tc>
          <w:tcPr>
            <w:tcW w:type="dxa" w:w="5112"/>
            <w:vAlign w:val="center"/>
          </w:tcPr>
          <w:p>
            <w:pPr>
              <w:spacing w:after="0"/>
            </w:pPr>
            <w:r/>
            <w:r>
              <w:rPr>
                <w:rFonts w:ascii="Aptos" w:hAnsi="Aptos"/>
                <w:b w:val="0"/>
                <w:sz w:val="16"/>
              </w:rPr>
              <w:t>Repository</w:t>
            </w:r>
          </w:p>
        </w:tc>
        <w:tc>
          <w:tcPr>
            <w:tcW w:type="dxa" w:w="5112"/>
            <w:vAlign w:val="center"/>
          </w:tcPr>
          <w:p>
            <w:pPr>
              <w:spacing w:after="0"/>
            </w:pPr>
            <w:r/>
            <w:r>
              <w:rPr>
                <w:rFonts w:ascii="Aptos" w:hAnsi="Aptos"/>
                <w:b w:val="0"/>
                <w:sz w:val="16"/>
              </w:rPr>
              <w:t>trading-intelligence</w:t>
            </w:r>
          </w:p>
        </w:tc>
      </w:tr>
      <w:tr>
        <w:tc>
          <w:tcPr>
            <w:tcW w:type="dxa" w:w="5112"/>
            <w:vAlign w:val="center"/>
          </w:tcPr>
          <w:p>
            <w:pPr>
              <w:spacing w:after="0"/>
            </w:pPr>
            <w:r/>
            <w:r>
              <w:rPr>
                <w:rFonts w:ascii="Aptos" w:hAnsi="Aptos"/>
                <w:b w:val="0"/>
                <w:sz w:val="16"/>
              </w:rPr>
              <w:t>Python package</w:t>
            </w:r>
          </w:p>
        </w:tc>
        <w:tc>
          <w:tcPr>
            <w:tcW w:type="dxa" w:w="5112"/>
            <w:vAlign w:val="center"/>
          </w:tcPr>
          <w:p>
            <w:pPr>
              <w:spacing w:after="0"/>
            </w:pPr>
            <w:r/>
            <w:r>
              <w:rPr>
                <w:rFonts w:ascii="Aptos" w:hAnsi="Aptos"/>
                <w:b w:val="0"/>
                <w:sz w:val="16"/>
              </w:rPr>
              <w:t>tiaf</w:t>
            </w:r>
          </w:p>
        </w:tc>
      </w:tr>
      <w:tr>
        <w:tc>
          <w:tcPr>
            <w:tcW w:type="dxa" w:w="5112"/>
            <w:vAlign w:val="center"/>
          </w:tcPr>
          <w:p>
            <w:pPr>
              <w:spacing w:after="0"/>
            </w:pPr>
            <w:r/>
            <w:r>
              <w:rPr>
                <w:rFonts w:ascii="Aptos" w:hAnsi="Aptos"/>
                <w:b w:val="0"/>
                <w:sz w:val="16"/>
              </w:rPr>
              <w:t>Primary service</w:t>
            </w:r>
          </w:p>
        </w:tc>
        <w:tc>
          <w:tcPr>
            <w:tcW w:type="dxa" w:w="5112"/>
            <w:vAlign w:val="center"/>
          </w:tcPr>
          <w:p>
            <w:pPr>
              <w:spacing w:after="0"/>
            </w:pPr>
            <w:r/>
            <w:r>
              <w:rPr>
                <w:rFonts w:ascii="Aptos" w:hAnsi="Aptos"/>
                <w:b w:val="0"/>
                <w:sz w:val="16"/>
              </w:rPr>
              <w:t>Trading Intelligence Service</w:t>
            </w:r>
          </w:p>
        </w:tc>
      </w:tr>
    </w:tbl>
    <w:p>
      <w:pPr>
        <w:spacing w:after="40"/>
      </w:pPr>
    </w:p>
    <w:p>
      <w:pPr>
        <w:pStyle w:val="Heading1"/>
      </w:pPr>
      <w:r>
        <w:t>3. Guiding Engineering Rules</w:t>
      </w:r>
    </w:p>
    <w:p>
      <w:pPr>
        <w:pStyle w:val="ListBullet"/>
        <w:spacing w:after="20"/>
      </w:pPr>
      <w:r>
        <w:t>Build contracts before agents.</w:t>
      </w:r>
    </w:p>
    <w:p>
      <w:pPr>
        <w:pStyle w:val="ListBullet"/>
        <w:spacing w:after="20"/>
      </w:pPr>
      <w:r>
        <w:t>Build deterministic baselines before claiming AI value.</w:t>
      </w:r>
    </w:p>
    <w:p>
      <w:pPr>
        <w:pStyle w:val="ListBullet"/>
        <w:spacing w:after="20"/>
      </w:pPr>
      <w:r>
        <w:t>Fetch/normalize market data centrally; agents do not independently hammer broker APIs.</w:t>
      </w:r>
    </w:p>
    <w:p>
      <w:pPr>
        <w:pStyle w:val="ListBullet"/>
        <w:spacing w:after="20"/>
      </w:pPr>
      <w:r>
        <w:t>Separate underlying selection from option selection.</w:t>
      </w:r>
    </w:p>
    <w:p>
      <w:pPr>
        <w:pStyle w:val="ListBullet"/>
        <w:spacing w:after="20"/>
      </w:pPr>
      <w:r>
        <w:t>Treat time horizon as a first-class input.</w:t>
      </w:r>
    </w:p>
    <w:p>
      <w:pPr>
        <w:pStyle w:val="ListBullet"/>
        <w:spacing w:after="20"/>
      </w:pPr>
      <w:r>
        <w:t>Allow NO TRADE / WAIT as valid outcomes.</w:t>
      </w:r>
    </w:p>
    <w:p>
      <w:pPr>
        <w:pStyle w:val="ListBullet"/>
        <w:spacing w:after="20"/>
      </w:pPr>
      <w:r>
        <w:t>Make every recommendation timestamped, attributable, and later scoreable.</w:t>
      </w:r>
    </w:p>
    <w:p>
      <w:pPr>
        <w:pStyle w:val="ListBullet"/>
        <w:spacing w:after="20"/>
      </w:pPr>
      <w:r>
        <w:t>Do not grant broker authority to agents; TradeMonitor remains the governor.</w:t>
      </w:r>
    </w:p>
    <w:p>
      <w:pPr>
        <w:pStyle w:val="ListBullet"/>
        <w:spacing w:after="20"/>
      </w:pPr>
      <w:r>
        <w:t>Prefer modular services and clear boundaries over a monolithic AI trader.</w:t>
      </w:r>
    </w:p>
    <w:p>
      <w:pPr>
        <w:pStyle w:val="ListBullet"/>
        <w:spacing w:after="20"/>
      </w:pPr>
      <w:r>
        <w:t>Use human judgment as validation and design feedback, not as a prerequisite for the system to operate.</w:t>
      </w:r>
    </w:p>
    <w:p>
      <w:pPr>
        <w:pStyle w:val="Heading1"/>
      </w:pPr>
      <w:r>
        <w:t>4. End-State Capability</w:t>
      </w:r>
    </w:p>
    <w:p>
      <w:pPr>
        <w:pStyle w:val="CodeCompact"/>
      </w:pPr>
      <w:r>
        <w:t>Opportunity workflow</w:t>
        <w:br/>
        <w:t>--------------------</w:t>
        <w:br/>
        <w:t>F&amp;O universe</w:t>
        <w:br/>
        <w:t xml:space="preserve">   -&gt; Planner</w:t>
        <w:br/>
        <w:t xml:space="preserve">   -&gt; Data Service</w:t>
        <w:br/>
        <w:t xml:space="preserve">   -&gt; specialist agents</w:t>
        <w:br/>
        <w:t xml:space="preserve">   -&gt; adversarial challenge</w:t>
        <w:br/>
        <w:t xml:space="preserve">   -&gt; arbitration</w:t>
        <w:br/>
        <w:t xml:space="preserve">   -&gt; top opportunities</w:t>
        <w:br/>
        <w:t xml:space="preserve">   -&gt; option expression</w:t>
        <w:br/>
        <w:t xml:space="preserve">   -&gt; structured recommendation</w:t>
        <w:br/>
        <w:t xml:space="preserve">   -&gt; TradeMonitor / Scanner / Sheet</w:t>
        <w:br/>
        <w:br/>
        <w:t>Position workflow</w:t>
        <w:br/>
        <w:t>-----------------</w:t>
        <w:br/>
        <w:t>Broker position</w:t>
        <w:br/>
        <w:t xml:space="preserve">   -&gt; ADOPT in TradeMonitor</w:t>
        <w:br/>
        <w:t xml:space="preserve">   -&gt; Position Assessment request</w:t>
        <w:br/>
        <w:t xml:space="preserve">   -&gt; TIAF current-state analysis</w:t>
        <w:br/>
        <w:t xml:space="preserve">   -&gt; HOLD / WATCH / PROTECT / PARTIAL_BOOK / BOOK / EXIT</w:t>
        <w:br/>
        <w:t xml:space="preserve">   -&gt; TradeMonitor risk + authority</w:t>
        <w:br/>
        <w:t xml:space="preserve">   -&gt; broker action</w:t>
        <w:br/>
        <w:t xml:space="preserve">   -&gt; outcome + audit</w:t>
        <w:br/>
        <w:t xml:space="preserve">   -&gt; TIAF learns from result</w:t>
      </w:r>
    </w:p>
    <w:p>
      <w:pPr>
        <w:pStyle w:val="Heading1"/>
      </w:pPr>
      <w:r>
        <w:t>5. Milestone 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6"/>
              </w:rPr>
              <w:t>Milestone</w:t>
            </w:r>
          </w:p>
        </w:tc>
        <w:tc>
          <w:tcPr>
            <w:tcW w:type="dxa" w:w="3408"/>
            <w:vAlign w:val="center"/>
            <w:shd w:fill="D9EAF7"/>
          </w:tcPr>
          <w:p>
            <w:pPr>
              <w:spacing w:after="0"/>
            </w:pPr>
            <w:r/>
            <w:r>
              <w:rPr>
                <w:rFonts w:ascii="Aptos" w:hAnsi="Aptos"/>
                <w:b/>
                <w:sz w:val="16"/>
              </w:rPr>
              <w:t>Purpose</w:t>
            </w:r>
          </w:p>
        </w:tc>
        <w:tc>
          <w:tcPr>
            <w:tcW w:type="dxa" w:w="3408"/>
            <w:vAlign w:val="center"/>
            <w:shd w:fill="D9EAF7"/>
          </w:tcPr>
          <w:p>
            <w:pPr>
              <w:spacing w:after="0"/>
            </w:pPr>
            <w:r/>
            <w:r>
              <w:rPr>
                <w:rFonts w:ascii="Aptos" w:hAnsi="Aptos"/>
                <w:b/>
                <w:sz w:val="16"/>
              </w:rPr>
              <w:t>Primary deliverable</w:t>
            </w:r>
          </w:p>
        </w:tc>
      </w:tr>
      <w:tr>
        <w:tc>
          <w:tcPr>
            <w:tcW w:type="dxa" w:w="3408"/>
            <w:vAlign w:val="center"/>
          </w:tcPr>
          <w:p>
            <w:pPr>
              <w:spacing w:after="0"/>
            </w:pPr>
            <w:r/>
            <w:r>
              <w:rPr>
                <w:rFonts w:ascii="Aptos" w:hAnsi="Aptos"/>
                <w:b w:val="0"/>
                <w:sz w:val="16"/>
              </w:rPr>
              <w:t>TIAF_A0</w:t>
            </w:r>
          </w:p>
        </w:tc>
        <w:tc>
          <w:tcPr>
            <w:tcW w:type="dxa" w:w="3408"/>
            <w:vAlign w:val="center"/>
          </w:tcPr>
          <w:p>
            <w:pPr>
              <w:spacing w:after="0"/>
            </w:pPr>
            <w:r/>
            <w:r>
              <w:rPr>
                <w:rFonts w:ascii="Aptos" w:hAnsi="Aptos"/>
                <w:b w:val="0"/>
                <w:sz w:val="16"/>
              </w:rPr>
              <w:t>Project foundation and contracts</w:t>
            </w:r>
          </w:p>
        </w:tc>
        <w:tc>
          <w:tcPr>
            <w:tcW w:type="dxa" w:w="3408"/>
            <w:vAlign w:val="center"/>
          </w:tcPr>
          <w:p>
            <w:pPr>
              <w:spacing w:after="0"/>
            </w:pPr>
            <w:r/>
            <w:r>
              <w:rPr>
                <w:rFonts w:ascii="Aptos" w:hAnsi="Aptos"/>
                <w:b w:val="0"/>
                <w:sz w:val="16"/>
              </w:rPr>
              <w:t>Versioned schemas, package skeleton, tests</w:t>
            </w:r>
          </w:p>
        </w:tc>
      </w:tr>
      <w:tr>
        <w:tc>
          <w:tcPr>
            <w:tcW w:type="dxa" w:w="3408"/>
            <w:vAlign w:val="center"/>
          </w:tcPr>
          <w:p>
            <w:pPr>
              <w:spacing w:after="0"/>
            </w:pPr>
            <w:r/>
            <w:r>
              <w:rPr>
                <w:rFonts w:ascii="Aptos" w:hAnsi="Aptos"/>
                <w:b w:val="0"/>
                <w:sz w:val="16"/>
              </w:rPr>
              <w:t>TIAF_A1</w:t>
            </w:r>
          </w:p>
        </w:tc>
        <w:tc>
          <w:tcPr>
            <w:tcW w:type="dxa" w:w="3408"/>
            <w:vAlign w:val="center"/>
          </w:tcPr>
          <w:p>
            <w:pPr>
              <w:spacing w:after="0"/>
            </w:pPr>
            <w:r/>
            <w:r>
              <w:rPr>
                <w:rFonts w:ascii="Aptos" w:hAnsi="Aptos"/>
                <w:b w:val="0"/>
                <w:sz w:val="16"/>
              </w:rPr>
              <w:t>Market-data foundation</w:t>
            </w:r>
          </w:p>
        </w:tc>
        <w:tc>
          <w:tcPr>
            <w:tcW w:type="dxa" w:w="3408"/>
            <w:vAlign w:val="center"/>
          </w:tcPr>
          <w:p>
            <w:pPr>
              <w:spacing w:after="0"/>
            </w:pPr>
            <w:r/>
            <w:r>
              <w:rPr>
                <w:rFonts w:ascii="Aptos" w:hAnsi="Aptos"/>
                <w:b w:val="0"/>
                <w:sz w:val="16"/>
              </w:rPr>
              <w:t>Dhan/Zerodha providers, normalized snapshots, cache</w:t>
            </w:r>
          </w:p>
        </w:tc>
      </w:tr>
      <w:tr>
        <w:tc>
          <w:tcPr>
            <w:tcW w:type="dxa" w:w="3408"/>
            <w:vAlign w:val="center"/>
          </w:tcPr>
          <w:p>
            <w:pPr>
              <w:spacing w:after="0"/>
            </w:pPr>
            <w:r/>
            <w:r>
              <w:rPr>
                <w:rFonts w:ascii="Aptos" w:hAnsi="Aptos"/>
                <w:b w:val="0"/>
                <w:sz w:val="16"/>
              </w:rPr>
              <w:t>TIAF_A2</w:t>
            </w:r>
          </w:p>
        </w:tc>
        <w:tc>
          <w:tcPr>
            <w:tcW w:type="dxa" w:w="3408"/>
            <w:vAlign w:val="center"/>
          </w:tcPr>
          <w:p>
            <w:pPr>
              <w:spacing w:after="0"/>
            </w:pPr>
            <w:r/>
            <w:r>
              <w:rPr>
                <w:rFonts w:ascii="Aptos" w:hAnsi="Aptos"/>
                <w:b w:val="0"/>
                <w:sz w:val="16"/>
              </w:rPr>
              <w:t>Deterministic baseline</w:t>
            </w:r>
          </w:p>
        </w:tc>
        <w:tc>
          <w:tcPr>
            <w:tcW w:type="dxa" w:w="3408"/>
            <w:vAlign w:val="center"/>
          </w:tcPr>
          <w:p>
            <w:pPr>
              <w:spacing w:after="0"/>
            </w:pPr>
            <w:r/>
            <w:r>
              <w:rPr>
                <w:rFonts w:ascii="Aptos" w:hAnsi="Aptos"/>
                <w:b w:val="0"/>
                <w:sz w:val="16"/>
              </w:rPr>
              <w:t>Non-AI opportunity ranking and feature engine</w:t>
            </w:r>
          </w:p>
        </w:tc>
      </w:tr>
      <w:tr>
        <w:tc>
          <w:tcPr>
            <w:tcW w:type="dxa" w:w="3408"/>
            <w:vAlign w:val="center"/>
          </w:tcPr>
          <w:p>
            <w:pPr>
              <w:spacing w:after="0"/>
            </w:pPr>
            <w:r/>
            <w:r>
              <w:rPr>
                <w:rFonts w:ascii="Aptos" w:hAnsi="Aptos"/>
                <w:b w:val="0"/>
                <w:sz w:val="16"/>
              </w:rPr>
              <w:t>TIAF_A3</w:t>
            </w:r>
          </w:p>
        </w:tc>
        <w:tc>
          <w:tcPr>
            <w:tcW w:type="dxa" w:w="3408"/>
            <w:vAlign w:val="center"/>
          </w:tcPr>
          <w:p>
            <w:pPr>
              <w:spacing w:after="0"/>
            </w:pPr>
            <w:r/>
            <w:r>
              <w:rPr>
                <w:rFonts w:ascii="Aptos" w:hAnsi="Aptos"/>
                <w:b w:val="0"/>
                <w:sz w:val="16"/>
              </w:rPr>
              <w:t>Planner and specialist-agent MVP</w:t>
            </w:r>
          </w:p>
        </w:tc>
        <w:tc>
          <w:tcPr>
            <w:tcW w:type="dxa" w:w="3408"/>
            <w:vAlign w:val="center"/>
          </w:tcPr>
          <w:p>
            <w:pPr>
              <w:spacing w:after="0"/>
            </w:pPr>
            <w:r/>
            <w:r>
              <w:rPr>
                <w:rFonts w:ascii="Aptos" w:hAnsi="Aptos"/>
                <w:b w:val="0"/>
                <w:sz w:val="16"/>
              </w:rPr>
              <w:t>Multi-agent opportunity workflow</w:t>
            </w:r>
          </w:p>
        </w:tc>
      </w:tr>
      <w:tr>
        <w:tc>
          <w:tcPr>
            <w:tcW w:type="dxa" w:w="3408"/>
            <w:vAlign w:val="center"/>
          </w:tcPr>
          <w:p>
            <w:pPr>
              <w:spacing w:after="0"/>
            </w:pPr>
            <w:r/>
            <w:r>
              <w:rPr>
                <w:rFonts w:ascii="Aptos" w:hAnsi="Aptos"/>
                <w:b w:val="0"/>
                <w:sz w:val="16"/>
              </w:rPr>
              <w:t>TIAF_A4</w:t>
            </w:r>
          </w:p>
        </w:tc>
        <w:tc>
          <w:tcPr>
            <w:tcW w:type="dxa" w:w="3408"/>
            <w:vAlign w:val="center"/>
          </w:tcPr>
          <w:p>
            <w:pPr>
              <w:spacing w:after="0"/>
            </w:pPr>
            <w:r/>
            <w:r>
              <w:rPr>
                <w:rFonts w:ascii="Aptos" w:hAnsi="Aptos"/>
                <w:b w:val="0"/>
                <w:sz w:val="16"/>
              </w:rPr>
              <w:t>Arbitration and adversarial review</w:t>
            </w:r>
          </w:p>
        </w:tc>
        <w:tc>
          <w:tcPr>
            <w:tcW w:type="dxa" w:w="3408"/>
            <w:vAlign w:val="center"/>
          </w:tcPr>
          <w:p>
            <w:pPr>
              <w:spacing w:after="0"/>
            </w:pPr>
            <w:r/>
            <w:r>
              <w:rPr>
                <w:rFonts w:ascii="Aptos" w:hAnsi="Aptos"/>
                <w:b w:val="0"/>
                <w:sz w:val="16"/>
              </w:rPr>
              <w:t>Consensus, disagreement, confidence, NO-TRADE</w:t>
            </w:r>
          </w:p>
        </w:tc>
      </w:tr>
      <w:tr>
        <w:tc>
          <w:tcPr>
            <w:tcW w:type="dxa" w:w="3408"/>
            <w:vAlign w:val="center"/>
          </w:tcPr>
          <w:p>
            <w:pPr>
              <w:spacing w:after="0"/>
            </w:pPr>
            <w:r/>
            <w:r>
              <w:rPr>
                <w:rFonts w:ascii="Aptos" w:hAnsi="Aptos"/>
                <w:b w:val="0"/>
                <w:sz w:val="16"/>
              </w:rPr>
              <w:t>TIAF_A5</w:t>
            </w:r>
          </w:p>
        </w:tc>
        <w:tc>
          <w:tcPr>
            <w:tcW w:type="dxa" w:w="3408"/>
            <w:vAlign w:val="center"/>
          </w:tcPr>
          <w:p>
            <w:pPr>
              <w:spacing w:after="0"/>
            </w:pPr>
            <w:r/>
            <w:r>
              <w:rPr>
                <w:rFonts w:ascii="Aptos" w:hAnsi="Aptos"/>
                <w:b w:val="0"/>
                <w:sz w:val="16"/>
              </w:rPr>
              <w:t>Position Intelligence MVP</w:t>
            </w:r>
          </w:p>
        </w:tc>
        <w:tc>
          <w:tcPr>
            <w:tcW w:type="dxa" w:w="3408"/>
            <w:vAlign w:val="center"/>
          </w:tcPr>
          <w:p>
            <w:pPr>
              <w:spacing w:after="0"/>
            </w:pPr>
            <w:r/>
            <w:r>
              <w:rPr>
                <w:rFonts w:ascii="Aptos" w:hAnsi="Aptos"/>
                <w:b w:val="0"/>
                <w:sz w:val="16"/>
              </w:rPr>
              <w:t>Adopted-position forward management advice</w:t>
            </w:r>
          </w:p>
        </w:tc>
      </w:tr>
      <w:tr>
        <w:tc>
          <w:tcPr>
            <w:tcW w:type="dxa" w:w="3408"/>
            <w:vAlign w:val="center"/>
          </w:tcPr>
          <w:p>
            <w:pPr>
              <w:spacing w:after="0"/>
            </w:pPr>
            <w:r/>
            <w:r>
              <w:rPr>
                <w:rFonts w:ascii="Aptos" w:hAnsi="Aptos"/>
                <w:b w:val="0"/>
                <w:sz w:val="16"/>
              </w:rPr>
              <w:t>TIAF_A6</w:t>
            </w:r>
          </w:p>
        </w:tc>
        <w:tc>
          <w:tcPr>
            <w:tcW w:type="dxa" w:w="3408"/>
            <w:vAlign w:val="center"/>
          </w:tcPr>
          <w:p>
            <w:pPr>
              <w:spacing w:after="0"/>
            </w:pPr>
            <w:r/>
            <w:r>
              <w:rPr>
                <w:rFonts w:ascii="Aptos" w:hAnsi="Aptos"/>
                <w:b w:val="0"/>
                <w:sz w:val="16"/>
              </w:rPr>
              <w:t>Option Expression Intelligence</w:t>
            </w:r>
          </w:p>
        </w:tc>
        <w:tc>
          <w:tcPr>
            <w:tcW w:type="dxa" w:w="3408"/>
            <w:vAlign w:val="center"/>
          </w:tcPr>
          <w:p>
            <w:pPr>
              <w:spacing w:after="0"/>
            </w:pPr>
            <w:r/>
            <w:r>
              <w:rPr>
                <w:rFonts w:ascii="Aptos" w:hAnsi="Aptos"/>
                <w:b w:val="0"/>
                <w:sz w:val="16"/>
              </w:rPr>
              <w:t>Expiry/strike/CE/PE selection and rejection</w:t>
            </w:r>
          </w:p>
        </w:tc>
      </w:tr>
      <w:tr>
        <w:tc>
          <w:tcPr>
            <w:tcW w:type="dxa" w:w="3408"/>
            <w:vAlign w:val="center"/>
          </w:tcPr>
          <w:p>
            <w:pPr>
              <w:spacing w:after="0"/>
            </w:pPr>
            <w:r/>
            <w:r>
              <w:rPr>
                <w:rFonts w:ascii="Aptos" w:hAnsi="Aptos"/>
                <w:b w:val="0"/>
                <w:sz w:val="16"/>
              </w:rPr>
              <w:t>TIAF_A7</w:t>
            </w:r>
          </w:p>
        </w:tc>
        <w:tc>
          <w:tcPr>
            <w:tcW w:type="dxa" w:w="3408"/>
            <w:vAlign w:val="center"/>
          </w:tcPr>
          <w:p>
            <w:pPr>
              <w:spacing w:after="0"/>
            </w:pPr>
            <w:r/>
            <w:r>
              <w:rPr>
                <w:rFonts w:ascii="Aptos" w:hAnsi="Aptos"/>
                <w:b w:val="0"/>
                <w:sz w:val="16"/>
              </w:rPr>
              <w:t>Evaluation and learning harness</w:t>
            </w:r>
          </w:p>
        </w:tc>
        <w:tc>
          <w:tcPr>
            <w:tcW w:type="dxa" w:w="3408"/>
            <w:vAlign w:val="center"/>
          </w:tcPr>
          <w:p>
            <w:pPr>
              <w:spacing w:after="0"/>
            </w:pPr>
            <w:r/>
            <w:r>
              <w:rPr>
                <w:rFonts w:ascii="Aptos" w:hAnsi="Aptos"/>
                <w:b w:val="0"/>
                <w:sz w:val="16"/>
              </w:rPr>
              <w:t>Outcome capture, MFE/MAE, calibration, benchmarks</w:t>
            </w:r>
          </w:p>
        </w:tc>
      </w:tr>
      <w:tr>
        <w:tc>
          <w:tcPr>
            <w:tcW w:type="dxa" w:w="3408"/>
            <w:vAlign w:val="center"/>
          </w:tcPr>
          <w:p>
            <w:pPr>
              <w:spacing w:after="0"/>
            </w:pPr>
            <w:r/>
            <w:r>
              <w:rPr>
                <w:rFonts w:ascii="Aptos" w:hAnsi="Aptos"/>
                <w:b w:val="0"/>
                <w:sz w:val="16"/>
              </w:rPr>
              <w:t>TIAF_A8</w:t>
            </w:r>
          </w:p>
        </w:tc>
        <w:tc>
          <w:tcPr>
            <w:tcW w:type="dxa" w:w="3408"/>
            <w:vAlign w:val="center"/>
          </w:tcPr>
          <w:p>
            <w:pPr>
              <w:spacing w:after="0"/>
            </w:pPr>
            <w:r/>
            <w:r>
              <w:rPr>
                <w:rFonts w:ascii="Aptos" w:hAnsi="Aptos"/>
                <w:b w:val="0"/>
                <w:sz w:val="16"/>
              </w:rPr>
              <w:t>TradeMonitor integration</w:t>
            </w:r>
          </w:p>
        </w:tc>
        <w:tc>
          <w:tcPr>
            <w:tcW w:type="dxa" w:w="3408"/>
            <w:vAlign w:val="center"/>
          </w:tcPr>
          <w:p>
            <w:pPr>
              <w:spacing w:after="0"/>
            </w:pPr>
            <w:r/>
            <w:r>
              <w:rPr>
                <w:rFonts w:ascii="Aptos" w:hAnsi="Aptos"/>
                <w:b w:val="0"/>
                <w:sz w:val="16"/>
              </w:rPr>
              <w:t>Stable service/API consumed by TM</w:t>
            </w:r>
          </w:p>
        </w:tc>
      </w:tr>
      <w:tr>
        <w:tc>
          <w:tcPr>
            <w:tcW w:type="dxa" w:w="3408"/>
            <w:vAlign w:val="center"/>
          </w:tcPr>
          <w:p>
            <w:pPr>
              <w:spacing w:after="0"/>
            </w:pPr>
            <w:r/>
            <w:r>
              <w:rPr>
                <w:rFonts w:ascii="Aptos" w:hAnsi="Aptos"/>
                <w:b w:val="0"/>
                <w:sz w:val="16"/>
              </w:rPr>
              <w:t>TIAF_A9</w:t>
            </w:r>
          </w:p>
        </w:tc>
        <w:tc>
          <w:tcPr>
            <w:tcW w:type="dxa" w:w="3408"/>
            <w:vAlign w:val="center"/>
          </w:tcPr>
          <w:p>
            <w:pPr>
              <w:spacing w:after="0"/>
            </w:pPr>
            <w:r/>
            <w:r>
              <w:rPr>
                <w:rFonts w:ascii="Aptos" w:hAnsi="Aptos"/>
                <w:b w:val="0"/>
                <w:sz w:val="16"/>
              </w:rPr>
              <w:t>Scanner integration</w:t>
            </w:r>
          </w:p>
        </w:tc>
        <w:tc>
          <w:tcPr>
            <w:tcW w:type="dxa" w:w="3408"/>
            <w:vAlign w:val="center"/>
          </w:tcPr>
          <w:p>
            <w:pPr>
              <w:spacing w:after="0"/>
            </w:pPr>
            <w:r/>
            <w:r>
              <w:rPr>
                <w:rFonts w:ascii="Aptos" w:hAnsi="Aptos"/>
                <w:b w:val="0"/>
                <w:sz w:val="16"/>
              </w:rPr>
              <w:t>Day/Pos scanners enriched by TIAF</w:t>
            </w:r>
          </w:p>
        </w:tc>
      </w:tr>
      <w:tr>
        <w:tc>
          <w:tcPr>
            <w:tcW w:type="dxa" w:w="3408"/>
            <w:vAlign w:val="center"/>
          </w:tcPr>
          <w:p>
            <w:pPr>
              <w:spacing w:after="0"/>
            </w:pPr>
            <w:r/>
            <w:r>
              <w:rPr>
                <w:rFonts w:ascii="Aptos" w:hAnsi="Aptos"/>
                <w:b w:val="0"/>
                <w:sz w:val="16"/>
              </w:rPr>
              <w:t>TIAF_A10</w:t>
            </w:r>
          </w:p>
        </w:tc>
        <w:tc>
          <w:tcPr>
            <w:tcW w:type="dxa" w:w="3408"/>
            <w:vAlign w:val="center"/>
          </w:tcPr>
          <w:p>
            <w:pPr>
              <w:spacing w:after="0"/>
            </w:pPr>
            <w:r/>
            <w:r>
              <w:rPr>
                <w:rFonts w:ascii="Aptos" w:hAnsi="Aptos"/>
                <w:b w:val="0"/>
                <w:sz w:val="16"/>
              </w:rPr>
              <w:t>Production hardening</w:t>
            </w:r>
          </w:p>
        </w:tc>
        <w:tc>
          <w:tcPr>
            <w:tcW w:type="dxa" w:w="3408"/>
            <w:vAlign w:val="center"/>
          </w:tcPr>
          <w:p>
            <w:pPr>
              <w:spacing w:after="0"/>
            </w:pPr>
            <w:r/>
            <w:r>
              <w:rPr>
                <w:rFonts w:ascii="Aptos" w:hAnsi="Aptos"/>
                <w:b w:val="0"/>
                <w:sz w:val="16"/>
              </w:rPr>
              <w:t>Fallbacks, rate limits, health, persistence, observability</w:t>
            </w:r>
          </w:p>
        </w:tc>
      </w:tr>
    </w:tbl>
    <w:p>
      <w:pPr>
        <w:spacing w:after="40"/>
      </w:pPr>
    </w:p>
    <w:p>
      <w:pPr>
        <w:pStyle w:val="Heading1"/>
      </w:pPr>
      <w:r>
        <w:t>6. TIAF_A0 — Foundation and Contracts</w:t>
      </w:r>
    </w:p>
    <w:p>
      <w:r>
        <w:t>Purpose: establish the domain language before implementing intelligence.</w:t>
      </w:r>
    </w:p>
    <w:p>
      <w:pPr>
        <w:pStyle w:val="ListBullet"/>
        <w:spacing w:after="20"/>
      </w:pPr>
      <w:r>
        <w:t>Create repository and Python package structure.</w:t>
      </w:r>
    </w:p>
    <w:p>
      <w:pPr>
        <w:pStyle w:val="ListBullet"/>
        <w:spacing w:after="20"/>
      </w:pPr>
      <w:r>
        <w:t>Define OpportunityRequest, PositionRequest, OpportunityAssessment, PositionAssessment, AgentOpinion, EvidenceItem, AgentDecisionBundle, OptionExpression, and DataSnapshot contracts.</w:t>
      </w:r>
    </w:p>
    <w:p>
      <w:pPr>
        <w:pStyle w:val="ListBullet"/>
        <w:spacing w:after="20"/>
      </w:pPr>
      <w:r>
        <w:t>Define enums for trade style, horizon class, direction, action, strength, confidence bands, freshness state, evidence type and source.</w:t>
      </w:r>
    </w:p>
    <w:p>
      <w:pPr>
        <w:pStyle w:val="ListBullet"/>
        <w:spacing w:after="20"/>
      </w:pPr>
      <w:r>
        <w:t>Define immutable identifiers: request_id, subject_id, snapshot_id, assessment_id.</w:t>
      </w:r>
    </w:p>
    <w:p>
      <w:pPr>
        <w:pStyle w:val="ListBullet"/>
        <w:spacing w:after="20"/>
      </w:pPr>
      <w:r>
        <w:t>Define serialization rules and schema versioning.</w:t>
      </w:r>
    </w:p>
    <w:p>
      <w:pPr>
        <w:pStyle w:val="ListBullet"/>
        <w:spacing w:after="20"/>
      </w:pPr>
      <w:r>
        <w:t>Create config model for provider credentials, model providers, budgets and environment.</w:t>
      </w:r>
    </w:p>
    <w:p>
      <w:pPr>
        <w:pStyle w:val="ListBullet"/>
        <w:spacing w:after="20"/>
      </w:pPr>
      <w:r>
        <w:t>Create structured logging and error taxonomy.</w:t>
      </w:r>
    </w:p>
    <w:p>
      <w:pPr>
        <w:pStyle w:val="ListBullet"/>
        <w:spacing w:after="20"/>
      </w:pPr>
      <w:r>
        <w:t>Create unit tests for serialization, validation and backward compatibility.</w:t>
      </w:r>
    </w:p>
    <w:p>
      <w:pPr>
        <w:pStyle w:val="CodeCompact"/>
      </w:pPr>
      <w:r>
        <w:t>Acceptance gate</w:t>
        <w:br/>
        <w:t>---------------</w:t>
        <w:br/>
        <w:t>- Contracts serialize/deserialize deterministically</w:t>
        <w:br/>
        <w:t>- Invalid inputs fail clearly</w:t>
        <w:br/>
        <w:t>- No dependency on TradeMonitor internals</w:t>
        <w:br/>
        <w:t>- No dependency on Google Sheet columns</w:t>
        <w:br/>
        <w:t>- Package can be imported as `tiaf`</w:t>
        <w:br/>
        <w:t>- CI/test command passes cleanly</w:t>
      </w:r>
    </w:p>
    <w:p>
      <w:pPr>
        <w:pStyle w:val="Heading1"/>
      </w:pPr>
      <w:r>
        <w:t>7. TIAF_A1 — Data Foundation</w:t>
      </w:r>
    </w:p>
    <w:p>
      <w:r>
        <w:t>Purpose: make a watchlist sufficient input.</w:t>
      </w:r>
    </w:p>
    <w:p>
      <w:pPr>
        <w:pStyle w:val="ListBullet"/>
        <w:spacing w:after="20"/>
      </w:pPr>
      <w:r>
        <w:t>Implement provider interfaces for quotes, historical OHLCV, instruments and derivatives.</w:t>
      </w:r>
    </w:p>
    <w:p>
      <w:pPr>
        <w:pStyle w:val="ListBullet"/>
        <w:spacing w:after="20"/>
      </w:pPr>
      <w:r>
        <w:t>Implement Dhan provider first where convenient for historical/market data.</w:t>
      </w:r>
    </w:p>
    <w:p>
      <w:pPr>
        <w:pStyle w:val="ListBullet"/>
        <w:spacing w:after="20"/>
      </w:pPr>
      <w:r>
        <w:t>Implement Zerodha provider where it adds useful current/broker-adjacent data.</w:t>
      </w:r>
    </w:p>
    <w:p>
      <w:pPr>
        <w:pStyle w:val="ListBullet"/>
        <w:spacing w:after="20"/>
      </w:pPr>
      <w:r>
        <w:t>Build provider-neutral symbol/instrument resolver.</w:t>
      </w:r>
    </w:p>
    <w:p>
      <w:pPr>
        <w:pStyle w:val="ListBullet"/>
        <w:spacing w:after="20"/>
      </w:pPr>
      <w:r>
        <w:t>Normalize time zones and timestamps to a canonical internal representation.</w:t>
      </w:r>
    </w:p>
    <w:p>
      <w:pPr>
        <w:pStyle w:val="ListBullet"/>
        <w:spacing w:after="20"/>
      </w:pPr>
      <w:r>
        <w:t>Implement cache with explicit freshness/TTL.</w:t>
      </w:r>
    </w:p>
    <w:p>
      <w:pPr>
        <w:pStyle w:val="ListBullet"/>
        <w:spacing w:after="20"/>
      </w:pPr>
      <w:r>
        <w:t>Create AnalysisContext assembly from raw data.</w:t>
      </w:r>
    </w:p>
    <w:p>
      <w:pPr>
        <w:pStyle w:val="ListBullet"/>
        <w:spacing w:after="20"/>
      </w:pPr>
      <w:r>
        <w:t>Support optional user-supplied enrichment; validate freshness before reuse.</w:t>
      </w:r>
    </w:p>
    <w:p>
      <w:pPr>
        <w:pStyle w:val="ListBullet"/>
        <w:spacing w:after="20"/>
      </w:pPr>
      <w:r>
        <w:t>Add provider fallbacks and partial-data flags.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6"/>
              </w:rPr>
              <w:t>Data</w:t>
            </w:r>
          </w:p>
        </w:tc>
        <w:tc>
          <w:tcPr>
            <w:tcW w:type="dxa" w:w="3408"/>
            <w:vAlign w:val="center"/>
            <w:shd w:fill="D9EAF7"/>
          </w:tcPr>
          <w:p>
            <w:pPr>
              <w:spacing w:after="0"/>
            </w:pPr>
            <w:r/>
            <w:r>
              <w:rPr>
                <w:rFonts w:ascii="Aptos" w:hAnsi="Aptos"/>
                <w:b/>
                <w:sz w:val="16"/>
              </w:rPr>
              <w:t>Initial source</w:t>
            </w:r>
          </w:p>
        </w:tc>
        <w:tc>
          <w:tcPr>
            <w:tcW w:type="dxa" w:w="3408"/>
            <w:vAlign w:val="center"/>
            <w:shd w:fill="D9EAF7"/>
          </w:tcPr>
          <w:p>
            <w:pPr>
              <w:spacing w:after="0"/>
            </w:pPr>
            <w:r/>
            <w:r>
              <w:rPr>
                <w:rFonts w:ascii="Aptos" w:hAnsi="Aptos"/>
                <w:b/>
                <w:sz w:val="16"/>
              </w:rPr>
              <w:t>Fallback / derived</w:t>
            </w:r>
          </w:p>
        </w:tc>
      </w:tr>
      <w:tr>
        <w:tc>
          <w:tcPr>
            <w:tcW w:type="dxa" w:w="3408"/>
            <w:vAlign w:val="center"/>
          </w:tcPr>
          <w:p>
            <w:pPr>
              <w:spacing w:after="0"/>
            </w:pPr>
            <w:r/>
            <w:r>
              <w:rPr>
                <w:rFonts w:ascii="Aptos" w:hAnsi="Aptos"/>
                <w:b w:val="0"/>
                <w:sz w:val="16"/>
              </w:rPr>
              <w:t>Spot quote</w:t>
            </w:r>
          </w:p>
        </w:tc>
        <w:tc>
          <w:tcPr>
            <w:tcW w:type="dxa" w:w="3408"/>
            <w:vAlign w:val="center"/>
          </w:tcPr>
          <w:p>
            <w:pPr>
              <w:spacing w:after="0"/>
            </w:pPr>
            <w:r/>
            <w:r>
              <w:rPr>
                <w:rFonts w:ascii="Aptos" w:hAnsi="Aptos"/>
                <w:b w:val="0"/>
                <w:sz w:val="16"/>
              </w:rPr>
              <w:t>Dhan or Zerodha</w:t>
            </w:r>
          </w:p>
        </w:tc>
        <w:tc>
          <w:tcPr>
            <w:tcW w:type="dxa" w:w="3408"/>
            <w:vAlign w:val="center"/>
          </w:tcPr>
          <w:p>
            <w:pPr>
              <w:spacing w:after="0"/>
            </w:pPr>
            <w:r/>
            <w:r>
              <w:rPr>
                <w:rFonts w:ascii="Aptos" w:hAnsi="Aptos"/>
                <w:b w:val="0"/>
                <w:sz w:val="16"/>
              </w:rPr>
              <w:t>alternate provider</w:t>
            </w:r>
          </w:p>
        </w:tc>
      </w:tr>
      <w:tr>
        <w:tc>
          <w:tcPr>
            <w:tcW w:type="dxa" w:w="3408"/>
            <w:vAlign w:val="center"/>
          </w:tcPr>
          <w:p>
            <w:pPr>
              <w:spacing w:after="0"/>
            </w:pPr>
            <w:r/>
            <w:r>
              <w:rPr>
                <w:rFonts w:ascii="Aptos" w:hAnsi="Aptos"/>
                <w:b w:val="0"/>
                <w:sz w:val="16"/>
              </w:rPr>
              <w:t>Intraday OHLCV</w:t>
            </w:r>
          </w:p>
        </w:tc>
        <w:tc>
          <w:tcPr>
            <w:tcW w:type="dxa" w:w="3408"/>
            <w:vAlign w:val="center"/>
          </w:tcPr>
          <w:p>
            <w:pPr>
              <w:spacing w:after="0"/>
            </w:pPr>
            <w:r/>
            <w:r>
              <w:rPr>
                <w:rFonts w:ascii="Aptos" w:hAnsi="Aptos"/>
                <w:b w:val="0"/>
                <w:sz w:val="16"/>
              </w:rPr>
              <w:t>Dhan</w:t>
            </w:r>
          </w:p>
        </w:tc>
        <w:tc>
          <w:tcPr>
            <w:tcW w:type="dxa" w:w="3408"/>
            <w:vAlign w:val="center"/>
          </w:tcPr>
          <w:p>
            <w:pPr>
              <w:spacing w:after="0"/>
            </w:pPr>
            <w:r/>
            <w:r>
              <w:rPr>
                <w:rFonts w:ascii="Aptos" w:hAnsi="Aptos"/>
                <w:b w:val="0"/>
                <w:sz w:val="16"/>
              </w:rPr>
              <w:t>Zerodha where supported</w:t>
            </w:r>
          </w:p>
        </w:tc>
      </w:tr>
      <w:tr>
        <w:tc>
          <w:tcPr>
            <w:tcW w:type="dxa" w:w="3408"/>
            <w:vAlign w:val="center"/>
          </w:tcPr>
          <w:p>
            <w:pPr>
              <w:spacing w:after="0"/>
            </w:pPr>
            <w:r/>
            <w:r>
              <w:rPr>
                <w:rFonts w:ascii="Aptos" w:hAnsi="Aptos"/>
                <w:b w:val="0"/>
                <w:sz w:val="16"/>
              </w:rPr>
              <w:t>Daily history</w:t>
            </w:r>
          </w:p>
        </w:tc>
        <w:tc>
          <w:tcPr>
            <w:tcW w:type="dxa" w:w="3408"/>
            <w:vAlign w:val="center"/>
          </w:tcPr>
          <w:p>
            <w:pPr>
              <w:spacing w:after="0"/>
            </w:pPr>
            <w:r/>
            <w:r>
              <w:rPr>
                <w:rFonts w:ascii="Aptos" w:hAnsi="Aptos"/>
                <w:b w:val="0"/>
                <w:sz w:val="16"/>
              </w:rPr>
              <w:t>Dhan</w:t>
            </w:r>
          </w:p>
        </w:tc>
        <w:tc>
          <w:tcPr>
            <w:tcW w:type="dxa" w:w="3408"/>
            <w:vAlign w:val="center"/>
          </w:tcPr>
          <w:p>
            <w:pPr>
              <w:spacing w:after="0"/>
            </w:pPr>
            <w:r/>
            <w:r>
              <w:rPr>
                <w:rFonts w:ascii="Aptos" w:hAnsi="Aptos"/>
                <w:b w:val="0"/>
                <w:sz w:val="16"/>
              </w:rPr>
              <w:t>alternate market source later</w:t>
            </w:r>
          </w:p>
        </w:tc>
      </w:tr>
      <w:tr>
        <w:tc>
          <w:tcPr>
            <w:tcW w:type="dxa" w:w="3408"/>
            <w:vAlign w:val="center"/>
          </w:tcPr>
          <w:p>
            <w:pPr>
              <w:spacing w:after="0"/>
            </w:pPr>
            <w:r/>
            <w:r>
              <w:rPr>
                <w:rFonts w:ascii="Aptos" w:hAnsi="Aptos"/>
                <w:b w:val="0"/>
                <w:sz w:val="16"/>
              </w:rPr>
              <w:t>Option instruments</w:t>
            </w:r>
          </w:p>
        </w:tc>
        <w:tc>
          <w:tcPr>
            <w:tcW w:type="dxa" w:w="3408"/>
            <w:vAlign w:val="center"/>
          </w:tcPr>
          <w:p>
            <w:pPr>
              <w:spacing w:after="0"/>
            </w:pPr>
            <w:r/>
            <w:r>
              <w:rPr>
                <w:rFonts w:ascii="Aptos" w:hAnsi="Aptos"/>
                <w:b w:val="0"/>
                <w:sz w:val="16"/>
              </w:rPr>
              <w:t>Dhan/Zerodha instrument masters</w:t>
            </w:r>
          </w:p>
        </w:tc>
        <w:tc>
          <w:tcPr>
            <w:tcW w:type="dxa" w:w="3408"/>
            <w:vAlign w:val="center"/>
          </w:tcPr>
          <w:p>
            <w:pPr>
              <w:spacing w:after="0"/>
            </w:pPr>
            <w:r/>
            <w:r>
              <w:rPr>
                <w:rFonts w:ascii="Aptos" w:hAnsi="Aptos"/>
                <w:b w:val="0"/>
                <w:sz w:val="16"/>
              </w:rPr>
              <w:t>cached master</w:t>
            </w:r>
          </w:p>
        </w:tc>
      </w:tr>
      <w:tr>
        <w:tc>
          <w:tcPr>
            <w:tcW w:type="dxa" w:w="3408"/>
            <w:vAlign w:val="center"/>
          </w:tcPr>
          <w:p>
            <w:pPr>
              <w:spacing w:after="0"/>
            </w:pPr>
            <w:r/>
            <w:r>
              <w:rPr>
                <w:rFonts w:ascii="Aptos" w:hAnsi="Aptos"/>
                <w:b w:val="0"/>
                <w:sz w:val="16"/>
              </w:rPr>
              <w:t>Option chain/OI/IV</w:t>
            </w:r>
          </w:p>
        </w:tc>
        <w:tc>
          <w:tcPr>
            <w:tcW w:type="dxa" w:w="3408"/>
            <w:vAlign w:val="center"/>
          </w:tcPr>
          <w:p>
            <w:pPr>
              <w:spacing w:after="0"/>
            </w:pPr>
            <w:r/>
            <w:r>
              <w:rPr>
                <w:rFonts w:ascii="Aptos" w:hAnsi="Aptos"/>
                <w:b w:val="0"/>
                <w:sz w:val="16"/>
              </w:rPr>
              <w:t>Provider depending on availability</w:t>
            </w:r>
          </w:p>
        </w:tc>
        <w:tc>
          <w:tcPr>
            <w:tcW w:type="dxa" w:w="3408"/>
            <w:vAlign w:val="center"/>
          </w:tcPr>
          <w:p>
            <w:pPr>
              <w:spacing w:after="0"/>
            </w:pPr>
            <w:r/>
            <w:r>
              <w:rPr>
                <w:rFonts w:ascii="Aptos" w:hAnsi="Aptos"/>
                <w:b w:val="0"/>
                <w:sz w:val="16"/>
              </w:rPr>
              <w:t>derived where valid</w:t>
            </w:r>
          </w:p>
        </w:tc>
      </w:tr>
      <w:tr>
        <w:tc>
          <w:tcPr>
            <w:tcW w:type="dxa" w:w="3408"/>
            <w:vAlign w:val="center"/>
          </w:tcPr>
          <w:p>
            <w:pPr>
              <w:spacing w:after="0"/>
            </w:pPr>
            <w:r/>
            <w:r>
              <w:rPr>
                <w:rFonts w:ascii="Aptos" w:hAnsi="Aptos"/>
                <w:b w:val="0"/>
                <w:sz w:val="16"/>
              </w:rPr>
              <w:t>News/events</w:t>
            </w:r>
          </w:p>
        </w:tc>
        <w:tc>
          <w:tcPr>
            <w:tcW w:type="dxa" w:w="3408"/>
            <w:vAlign w:val="center"/>
          </w:tcPr>
          <w:p>
            <w:pPr>
              <w:spacing w:after="0"/>
            </w:pPr>
            <w:r/>
            <w:r>
              <w:rPr>
                <w:rFonts w:ascii="Aptos" w:hAnsi="Aptos"/>
                <w:b w:val="0"/>
                <w:sz w:val="16"/>
              </w:rPr>
              <w:t>Web/public sources</w:t>
            </w:r>
          </w:p>
        </w:tc>
        <w:tc>
          <w:tcPr>
            <w:tcW w:type="dxa" w:w="3408"/>
            <w:vAlign w:val="center"/>
          </w:tcPr>
          <w:p>
            <w:pPr>
              <w:spacing w:after="0"/>
            </w:pPr>
            <w:r/>
            <w:r>
              <w:rPr>
                <w:rFonts w:ascii="Aptos" w:hAnsi="Aptos"/>
                <w:b w:val="0"/>
                <w:sz w:val="16"/>
              </w:rPr>
              <w:t>multiple-source corroboration</w:t>
            </w:r>
          </w:p>
        </w:tc>
      </w:tr>
      <w:tr>
        <w:tc>
          <w:tcPr>
            <w:tcW w:type="dxa" w:w="3408"/>
            <w:vAlign w:val="center"/>
          </w:tcPr>
          <w:p>
            <w:pPr>
              <w:spacing w:after="0"/>
            </w:pPr>
            <w:r/>
            <w:r>
              <w:rPr>
                <w:rFonts w:ascii="Aptos" w:hAnsi="Aptos"/>
                <w:b w:val="0"/>
                <w:sz w:val="16"/>
              </w:rPr>
              <w:t>Sector/index context</w:t>
            </w:r>
          </w:p>
        </w:tc>
        <w:tc>
          <w:tcPr>
            <w:tcW w:type="dxa" w:w="3408"/>
            <w:vAlign w:val="center"/>
          </w:tcPr>
          <w:p>
            <w:pPr>
              <w:spacing w:after="0"/>
            </w:pPr>
            <w:r/>
            <w:r>
              <w:rPr>
                <w:rFonts w:ascii="Aptos" w:hAnsi="Aptos"/>
                <w:b w:val="0"/>
                <w:sz w:val="16"/>
              </w:rPr>
              <w:t>Market-data provider</w:t>
            </w:r>
          </w:p>
        </w:tc>
        <w:tc>
          <w:tcPr>
            <w:tcW w:type="dxa" w:w="3408"/>
            <w:vAlign w:val="center"/>
          </w:tcPr>
          <w:p>
            <w:pPr>
              <w:spacing w:after="0"/>
            </w:pPr>
            <w:r/>
            <w:r>
              <w:rPr>
                <w:rFonts w:ascii="Aptos" w:hAnsi="Aptos"/>
                <w:b w:val="0"/>
                <w:sz w:val="16"/>
              </w:rPr>
              <w:t>derived relative-strength series</w:t>
            </w:r>
          </w:p>
        </w:tc>
      </w:tr>
    </w:tbl>
    <w:p>
      <w:pPr>
        <w:spacing w:after="40"/>
      </w:pPr>
    </w:p>
    <w:p>
      <w:pPr>
        <w:pStyle w:val="CodeCompact"/>
      </w:pPr>
      <w:r>
        <w:t>Acceptance gate</w:t>
        <w:br/>
        <w:t>---------------</w:t>
        <w:br/>
        <w:t>Given only:</w:t>
        <w:br/>
        <w:t xml:space="preserve">  [RELIANCE, KAYNES, BSE, MCX, KEI]</w:t>
        <w:br/>
        <w:br/>
        <w:t>TIAF can build timestamp-consistent AnalysisContext objects</w:t>
        <w:br/>
        <w:t>with current quote + required history or explicitly mark missing/stale data.</w:t>
      </w:r>
    </w:p>
    <w:p>
      <w:pPr>
        <w:pStyle w:val="Heading1"/>
      </w:pPr>
      <w:r>
        <w:t>8. TIAF_A2 — Deterministic Baseline</w:t>
      </w:r>
    </w:p>
    <w:p>
      <w:r>
        <w:t>Purpose: create a measurable non-AI benchmark. Agents must later prove that they add value beyond this baseline.</w:t>
      </w:r>
    </w:p>
    <w:p>
      <w:pPr>
        <w:pStyle w:val="ListBullet"/>
        <w:spacing w:after="20"/>
      </w:pPr>
      <w:r>
        <w:t>Feature engine: change %, ATR/ATR%, Move/ATR, gap, range position, VWAP context, volume ratio, relative strength, trend, momentum, volatility regime.</w:t>
      </w:r>
    </w:p>
    <w:p>
      <w:pPr>
        <w:pStyle w:val="ListBullet"/>
        <w:spacing w:after="20"/>
      </w:pPr>
      <w:r>
        <w:t>Multi-timeframe feature calculation: 5m/15m/1h/daily/weekly as appropriate.</w:t>
      </w:r>
    </w:p>
    <w:p>
      <w:pPr>
        <w:pStyle w:val="ListBullet"/>
        <w:spacing w:after="20"/>
      </w:pPr>
      <w:r>
        <w:t>Range-consumption estimate: how much of typical daily/weekly movement may already be used.</w:t>
      </w:r>
    </w:p>
    <w:p>
      <w:pPr>
        <w:pStyle w:val="ListBullet"/>
        <w:spacing w:after="20"/>
      </w:pPr>
      <w:r>
        <w:t>Basic sector-relative and index-relative strength.</w:t>
      </w:r>
    </w:p>
    <w:p>
      <w:pPr>
        <w:pStyle w:val="ListBullet"/>
        <w:spacing w:after="20"/>
      </w:pPr>
      <w:r>
        <w:t>Basic opportunity score with separate bullish/bearish components.</w:t>
      </w:r>
    </w:p>
    <w:p>
      <w:pPr>
        <w:pStyle w:val="ListBullet"/>
        <w:spacing w:after="20"/>
      </w:pPr>
      <w:r>
        <w:t>Candidate tiers: TOP_MOVER, EARLY_OPPORTUNITY, MATURE_AVOID_CHASE, NO_TRADE.</w:t>
      </w:r>
    </w:p>
    <w:p>
      <w:pPr>
        <w:pStyle w:val="ListBullet"/>
        <w:spacing w:after="20"/>
      </w:pPr>
      <w:r>
        <w:t>Horizon-specific scoring profiles.</w:t>
      </w:r>
    </w:p>
    <w:p>
      <w:r>
        <w:t>The deterministic baseline should be intentionally understandable. It is not expected to be final alpha; it is the control group.</w:t>
      </w:r>
    </w:p>
    <w:p>
      <w:pPr>
        <w:pStyle w:val="CodeCompact"/>
      </w:pPr>
      <w:r>
        <w:t>Acceptance gate</w:t>
        <w:br/>
        <w:t>---------------</w:t>
        <w:br/>
        <w:t>- Produces ranked candidates for DAY and POSITIONAL horizons</w:t>
        <w:br/>
        <w:t>- Can rank a +0.8% early setup above an already +4.5% mature mover</w:t>
        <w:br/>
        <w:t xml:space="preserve">  when deterministic evidence supports that conclusion</w:t>
        <w:br/>
        <w:t>- Returns NO TRADE where thresholds are not met</w:t>
        <w:br/>
        <w:t>- Results are reproducible from the same snapshot</w:t>
      </w:r>
    </w:p>
    <w:p>
      <w:pPr>
        <w:pStyle w:val="Heading1"/>
      </w:pPr>
      <w:r>
        <w:t>9. TIAF_A3 — Planner and Specialist-Agent MVP</w:t>
      </w:r>
    </w:p>
    <w:p>
      <w:r>
        <w:t>Purpose: add contextual reasoning only after data and deterministic features are dependable.</w:t>
      </w:r>
    </w:p>
    <w:p>
      <w:pPr>
        <w:pStyle w:val="ListBullet"/>
        <w:spacing w:after="20"/>
      </w:pPr>
      <w:r>
        <w:t>Introduce LangGraph as orchestration layer while keeping domain contracts framework-independent.</w:t>
      </w:r>
    </w:p>
    <w:p>
      <w:pPr>
        <w:pStyle w:val="ListBullet"/>
        <w:spacing w:after="20"/>
      </w:pPr>
      <w:r>
        <w:t>Planner determines which specialists are useful for each task/horizon.</w:t>
      </w:r>
    </w:p>
    <w:p>
      <w:pPr>
        <w:pStyle w:val="ListBullet"/>
        <w:spacing w:after="20"/>
      </w:pPr>
      <w:r>
        <w:t>Initial specialists: Technical, Relative Strength, Sector, News/Catalyst, Risk, Contrarian.</w:t>
      </w:r>
    </w:p>
    <w:p>
      <w:pPr>
        <w:pStyle w:val="ListBullet"/>
        <w:spacing w:after="20"/>
      </w:pPr>
      <w:r>
        <w:t>Agents consume shared AnalysisContext rather than independently fetching data.</w:t>
      </w:r>
    </w:p>
    <w:p>
      <w:pPr>
        <w:pStyle w:val="ListBullet"/>
        <w:spacing w:after="20"/>
      </w:pPr>
      <w:r>
        <w:t>Each specialist emits structured AgentOpinion: stance, confidence, evidence, caveats, freshness.</w:t>
      </w:r>
    </w:p>
    <w:p>
      <w:pPr>
        <w:pStyle w:val="ListBullet"/>
        <w:spacing w:after="20"/>
      </w:pPr>
      <w:r>
        <w:t>Planner can request additional evidence when a specialist identifies a gap.</w:t>
      </w:r>
    </w:p>
    <w:p>
      <w:pPr>
        <w:pStyle w:val="ListBullet"/>
        <w:spacing w:after="20"/>
      </w:pPr>
      <w:r>
        <w:t>Enforce token/time/research budgets.</w:t>
      </w:r>
    </w:p>
    <w:p>
      <w:pPr>
        <w:pStyle w:val="CodeCompact"/>
      </w:pPr>
      <w:r>
        <w:t>First opportunity MVP</w:t>
        <w:br/>
        <w:t>---------------------</w:t>
        <w:br/>
        <w:t>Input: 10–20 F&amp;O symbols</w:t>
        <w:br/>
        <w:t>Output:</w:t>
        <w:br/>
        <w:t xml:space="preserve">  0–5 ranked opportunities</w:t>
        <w:br/>
        <w:t xml:space="preserve">  CE / PE / WAIT / NO TRADE</w:t>
        <w:br/>
        <w:t xml:space="preserve">  confidence</w:t>
        <w:br/>
        <w:t xml:space="preserve">  expected remaining move</w:t>
        <w:br/>
        <w:t xml:space="preserve">  entry state</w:t>
        <w:br/>
        <w:t xml:space="preserve">  invalidation</w:t>
        <w:br/>
        <w:t xml:space="preserve">  evidence summary</w:t>
        <w:br/>
        <w:t xml:space="preserve">  specialist disagreement</w:t>
        <w:br/>
        <w:br/>
        <w:t>No broker execution.</w:t>
      </w:r>
    </w:p>
    <w:p>
      <w:pPr>
        <w:pStyle w:val="Heading1"/>
      </w:pPr>
      <w:r>
        <w:t>10. TIAF_A4 — Arbitration and Adversarial Review</w:t>
      </w:r>
    </w:p>
    <w:p>
      <w:r>
        <w:t>Purpose: prevent a single fluent agent from becoming an oracle and make disagreement visible.</w:t>
      </w:r>
    </w:p>
    <w:p>
      <w:pPr>
        <w:pStyle w:val="ListBullet"/>
        <w:spacing w:after="20"/>
      </w:pPr>
      <w:r>
        <w:t>Bull case and bear/contrarian case generated independently.</w:t>
      </w:r>
    </w:p>
    <w:p>
      <w:pPr>
        <w:pStyle w:val="ListBullet"/>
        <w:spacing w:after="20"/>
      </w:pPr>
      <w:r>
        <w:t>Risk Agent can veto or downgrade economically poor opportunities.</w:t>
      </w:r>
    </w:p>
    <w:p>
      <w:pPr>
        <w:pStyle w:val="ListBullet"/>
        <w:spacing w:after="20"/>
      </w:pPr>
      <w:r>
        <w:t>Arbitrator weighs relevance, evidence quality, freshness, horizon and disagreement.</w:t>
      </w:r>
    </w:p>
    <w:p>
      <w:pPr>
        <w:pStyle w:val="ListBullet"/>
        <w:spacing w:after="20"/>
      </w:pPr>
      <w:r>
        <w:t>Do not use naive simple averaging as the final method.</w:t>
      </w:r>
    </w:p>
    <w:p>
      <w:pPr>
        <w:pStyle w:val="ListBullet"/>
        <w:spacing w:after="20"/>
      </w:pPr>
      <w:r>
        <w:t>High-confidence calls require stronger evidentiary consistency than medium-confidence calls.</w:t>
      </w:r>
    </w:p>
    <w:p>
      <w:pPr>
        <w:pStyle w:val="ListBullet"/>
        <w:spacing w:after="20"/>
      </w:pPr>
      <w:r>
        <w:t>Explicitly support WAIT and NO TRADE.</w:t>
      </w:r>
    </w:p>
    <w:p>
      <w:pPr>
        <w:pStyle w:val="ListBullet"/>
        <w:spacing w:after="20"/>
      </w:pPr>
      <w:r>
        <w:t>Persist all specialist opinions for later scoring.</w:t>
      </w:r>
    </w:p>
    <w:p>
      <w:pPr>
        <w:pStyle w:val="CodeCompact"/>
      </w:pPr>
      <w:r>
        <w:t>Acceptance gate</w:t>
        <w:br/>
        <w:t>---------------</w:t>
        <w:br/>
        <w:t>For every final recommendation:</w:t>
        <w:br/>
        <w:t>- specialist votes are visible</w:t>
        <w:br/>
        <w:t>- disagreement is quantified</w:t>
        <w:br/>
        <w:t>- confidence has traceable basis</w:t>
        <w:br/>
        <w:t>- unsupported factual claims are rejected or downgraded</w:t>
        <w:br/>
        <w:t>- final decision can be NO TRADE even when top_n=5</w:t>
      </w:r>
    </w:p>
    <w:p>
      <w:pPr>
        <w:pStyle w:val="Heading1"/>
      </w:pPr>
      <w:r>
        <w:t>11. TIAF_A5 — Position Intelligence MVP</w:t>
      </w:r>
    </w:p>
    <w:p>
      <w:r>
        <w:t>Purpose: support the most important TradeMonitor use case — adopted broker positions that need forward-looking management.</w:t>
      </w:r>
    </w:p>
    <w:p>
      <w:pPr>
        <w:pStyle w:val="ListBullet"/>
        <w:spacing w:after="20"/>
      </w:pPr>
      <w:r>
        <w:t>PositionRequest accepts current broker position plus horizon if known/selected.</w:t>
      </w:r>
    </w:p>
    <w:p>
      <w:pPr>
        <w:pStyle w:val="ListBullet"/>
        <w:spacing w:after="20"/>
      </w:pPr>
      <w:r>
        <w:t>Original entry rationale is optional and never required.</w:t>
      </w:r>
    </w:p>
    <w:p>
      <w:pPr>
        <w:pStyle w:val="ListBullet"/>
        <w:spacing w:after="20"/>
      </w:pPr>
      <w:r>
        <w:t>Initial assessment asks: 'If I owned this position right now, should I continue owning it?'</w:t>
      </w:r>
    </w:p>
    <w:p>
      <w:pPr>
        <w:pStyle w:val="ListBullet"/>
        <w:spacing w:after="20"/>
      </w:pPr>
      <w:r>
        <w:t>Actions: HOLD, WATCH_CLOSELY, PROTECT, PARTIAL_BOOK, BOOK, EXIT.</w:t>
      </w:r>
    </w:p>
    <w:p>
      <w:pPr>
        <w:pStyle w:val="ListBullet"/>
        <w:spacing w:after="20"/>
      </w:pPr>
      <w:r>
        <w:t>Strength: MILD, MODERATE, STRONG, URGENT.</w:t>
      </w:r>
    </w:p>
    <w:p>
      <w:pPr>
        <w:pStyle w:val="ListBullet"/>
        <w:spacing w:after="20"/>
      </w:pPr>
      <w:r>
        <w:t>Reassessment compares current state with previous assessment and explains what changed.</w:t>
      </w:r>
    </w:p>
    <w:p>
      <w:pPr>
        <w:pStyle w:val="ListBullet"/>
        <w:spacing w:after="20"/>
      </w:pPr>
      <w:r>
        <w:t>Triggers: elapsed time, P&amp;L milestones, support/resistance events, volatility change, sector move, material news, expiry proximity, TM request.</w:t>
      </w:r>
    </w:p>
    <w:p>
      <w:pPr>
        <w:pStyle w:val="ListBullet"/>
        <w:spacing w:after="20"/>
      </w:pPr>
      <w:r>
        <w:t>Exit Agent and Risk Agent become first-class participants.</w:t>
      </w:r>
    </w:p>
    <w:p>
      <w:pPr>
        <w:pStyle w:val="ListBullet"/>
        <w:spacing w:after="20"/>
      </w:pPr>
      <w:r>
        <w:t>Agent recommendation remains advisory; TM handles authority and execution.</w:t>
      </w:r>
    </w:p>
    <w:p>
      <w:pPr>
        <w:pStyle w:val="CodeCompact"/>
      </w:pPr>
      <w:r>
        <w:t>Example</w:t>
        <w:br/>
        <w:t>-------</w:t>
        <w:br/>
        <w:t>11:00  HOLD / MODERATE</w:t>
        <w:br/>
        <w:t>12:15  PROTECT / MODERATE</w:t>
        <w:br/>
        <w:t>13:05  industry-negative event detected</w:t>
        <w:br/>
        <w:t>13:06  EXIT / STRONG / confidence 0.86</w:t>
        <w:br/>
        <w:br/>
        <w:t>Reason:</w:t>
        <w:br/>
        <w:t>- sector breadth broke</w:t>
        <w:br/>
        <w:t>- peer group selling accelerated</w:t>
        <w:br/>
        <w:t>- current support failed</w:t>
        <w:br/>
        <w:t>- open profit worth protecting</w:t>
      </w:r>
    </w:p>
    <w:p>
      <w:pPr>
        <w:pStyle w:val="Heading1"/>
      </w:pPr>
      <w:r>
        <w:t>12. TIAF_A6 — Option Expression Intelligence</w:t>
      </w:r>
    </w:p>
    <w:p>
      <w:r>
        <w:t>Purpose: convert a validated underlying view into an appropriate CE/PE contract, or reject options when expression quality is poor.</w:t>
      </w:r>
    </w:p>
    <w:p>
      <w:pPr>
        <w:pStyle w:val="ListBullet"/>
        <w:spacing w:after="20"/>
      </w:pPr>
      <w:r>
        <w:t>Select expiry consistent with the expected move horizon.</w:t>
      </w:r>
    </w:p>
    <w:p>
      <w:pPr>
        <w:pStyle w:val="ListBullet"/>
        <w:spacing w:after="20"/>
      </w:pPr>
      <w:r>
        <w:t>Compare ATM/ITM/OTM candidates.</w:t>
      </w:r>
    </w:p>
    <w:p>
      <w:pPr>
        <w:pStyle w:val="ListBullet"/>
        <w:spacing w:after="20"/>
      </w:pPr>
      <w:r>
        <w:t>Evaluate delta, theta, IV, liquidity, bid/ask spread, OI/volume and event exposure.</w:t>
      </w:r>
    </w:p>
    <w:p>
      <w:pPr>
        <w:pStyle w:val="ListBullet"/>
        <w:spacing w:after="20"/>
      </w:pPr>
      <w:r>
        <w:t>Estimate whether option premium is excessively expensive relative to expected underlying move.</w:t>
      </w:r>
    </w:p>
    <w:p>
      <w:pPr>
        <w:pStyle w:val="ListBullet"/>
        <w:spacing w:after="20"/>
      </w:pPr>
      <w:r>
        <w:t>Reject unsuitable contracts even when the underlying thesis is attractive.</w:t>
      </w:r>
    </w:p>
    <w:p>
      <w:pPr>
        <w:pStyle w:val="ListBullet"/>
        <w:spacing w:after="20"/>
      </w:pPr>
      <w:r>
        <w:t>Keep position sizing and account-level risk primarily under TradeMonitor/RM.</w:t>
      </w:r>
    </w:p>
    <w:p>
      <w:pPr>
        <w:pStyle w:val="CodeCompact"/>
      </w:pPr>
      <w:r>
        <w:t>Output</w:t>
        <w:br/>
        <w:t>------</w:t>
        <w:br/>
        <w:t>Underlying view: BULLISH, 5–10 day horizon</w:t>
        <w:br/>
        <w:t>Preferred: SEP 4100 CE</w:t>
        <w:br/>
        <w:t>Alternate: SEP 4000 CE</w:t>
        <w:br/>
        <w:t>Avoid: SEP 4300 CE</w:t>
        <w:br/>
        <w:t>Reason: inferior delta/theta/liquidity balance</w:t>
        <w:br/>
        <w:t>Option-expression confidence: 0.74</w:t>
      </w:r>
    </w:p>
    <w:p>
      <w:pPr>
        <w:pStyle w:val="Heading1"/>
      </w:pPr>
      <w:r>
        <w:t>13. TIAF_A7 — Evaluation and Learning Harness</w:t>
      </w:r>
    </w:p>
    <w:p>
      <w:r>
        <w:t>Purpose: determine whether TIAF is actually improving trading decisions.</w:t>
      </w:r>
    </w:p>
    <w:p>
      <w:pPr>
        <w:pStyle w:val="ListBullet"/>
        <w:spacing w:after="20"/>
      </w:pPr>
      <w:r>
        <w:t>Store recommendation before outcome is known.</w:t>
      </w:r>
    </w:p>
    <w:p>
      <w:pPr>
        <w:pStyle w:val="ListBullet"/>
        <w:spacing w:after="20"/>
      </w:pPr>
      <w:r>
        <w:t>Capture subsequent price path by declared horizon.</w:t>
      </w:r>
    </w:p>
    <w:p>
      <w:pPr>
        <w:pStyle w:val="ListBullet"/>
        <w:spacing w:after="20"/>
      </w:pPr>
      <w:r>
        <w:t>Calculate MFE, MAE, realized/virtual outcome, drawdown, direction correctness and timing quality.</w:t>
      </w:r>
    </w:p>
    <w:p>
      <w:pPr>
        <w:pStyle w:val="ListBullet"/>
        <w:spacing w:after="20"/>
      </w:pPr>
      <w:r>
        <w:t>Measure confidence calibration.</w:t>
      </w:r>
    </w:p>
    <w:p>
      <w:pPr>
        <w:pStyle w:val="ListBullet"/>
        <w:spacing w:after="20"/>
      </w:pPr>
      <w:r>
        <w:t>Compare deterministic baseline vs TIAF consensus vs human/expert judgment.</w:t>
      </w:r>
    </w:p>
    <w:p>
      <w:pPr>
        <w:pStyle w:val="ListBullet"/>
        <w:spacing w:after="20"/>
      </w:pPr>
      <w:r>
        <w:t>Score each specialist by horizon and market regime.</w:t>
      </w:r>
    </w:p>
    <w:p>
      <w:pPr>
        <w:pStyle w:val="ListBullet"/>
        <w:spacing w:after="20"/>
      </w:pPr>
      <w:r>
        <w:t>Do not allow self-evaluation based only on narrative explanations.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6"/>
              </w:rPr>
              <w:t>Measure</w:t>
            </w:r>
          </w:p>
        </w:tc>
        <w:tc>
          <w:tcPr>
            <w:tcW w:type="dxa" w:w="5112"/>
            <w:vAlign w:val="center"/>
            <w:shd w:fill="D9EAF7"/>
          </w:tcPr>
          <w:p>
            <w:pPr>
              <w:spacing w:after="0"/>
            </w:pPr>
            <w:r/>
            <w:r>
              <w:rPr>
                <w:rFonts w:ascii="Aptos" w:hAnsi="Aptos"/>
                <w:b/>
                <w:sz w:val="16"/>
              </w:rPr>
              <w:t>Use</w:t>
            </w:r>
          </w:p>
        </w:tc>
      </w:tr>
      <w:tr>
        <w:tc>
          <w:tcPr>
            <w:tcW w:type="dxa" w:w="5112"/>
            <w:vAlign w:val="center"/>
          </w:tcPr>
          <w:p>
            <w:pPr>
              <w:spacing w:after="0"/>
            </w:pPr>
            <w:r/>
            <w:r>
              <w:rPr>
                <w:rFonts w:ascii="Aptos" w:hAnsi="Aptos"/>
                <w:b w:val="0"/>
                <w:sz w:val="16"/>
              </w:rPr>
              <w:t>MFE</w:t>
            </w:r>
          </w:p>
        </w:tc>
        <w:tc>
          <w:tcPr>
            <w:tcW w:type="dxa" w:w="5112"/>
            <w:vAlign w:val="center"/>
          </w:tcPr>
          <w:p>
            <w:pPr>
              <w:spacing w:after="0"/>
            </w:pPr>
            <w:r/>
            <w:r>
              <w:rPr>
                <w:rFonts w:ascii="Aptos" w:hAnsi="Aptos"/>
                <w:b w:val="0"/>
                <w:sz w:val="16"/>
              </w:rPr>
              <w:t>How much favorable movement became available after recommendation</w:t>
            </w:r>
          </w:p>
        </w:tc>
      </w:tr>
      <w:tr>
        <w:tc>
          <w:tcPr>
            <w:tcW w:type="dxa" w:w="5112"/>
            <w:vAlign w:val="center"/>
          </w:tcPr>
          <w:p>
            <w:pPr>
              <w:spacing w:after="0"/>
            </w:pPr>
            <w:r/>
            <w:r>
              <w:rPr>
                <w:rFonts w:ascii="Aptos" w:hAnsi="Aptos"/>
                <w:b w:val="0"/>
                <w:sz w:val="16"/>
              </w:rPr>
              <w:t>MAE</w:t>
            </w:r>
          </w:p>
        </w:tc>
        <w:tc>
          <w:tcPr>
            <w:tcW w:type="dxa" w:w="5112"/>
            <w:vAlign w:val="center"/>
          </w:tcPr>
          <w:p>
            <w:pPr>
              <w:spacing w:after="0"/>
            </w:pPr>
            <w:r/>
            <w:r>
              <w:rPr>
                <w:rFonts w:ascii="Aptos" w:hAnsi="Aptos"/>
                <w:b w:val="0"/>
                <w:sz w:val="16"/>
              </w:rPr>
              <w:t>How much adverse movement occurred</w:t>
            </w:r>
          </w:p>
        </w:tc>
      </w:tr>
      <w:tr>
        <w:tc>
          <w:tcPr>
            <w:tcW w:type="dxa" w:w="5112"/>
            <w:vAlign w:val="center"/>
          </w:tcPr>
          <w:p>
            <w:pPr>
              <w:spacing w:after="0"/>
            </w:pPr>
            <w:r/>
            <w:r>
              <w:rPr>
                <w:rFonts w:ascii="Aptos" w:hAnsi="Aptos"/>
                <w:b w:val="0"/>
                <w:sz w:val="16"/>
              </w:rPr>
              <w:t>Exit efficiency</w:t>
            </w:r>
          </w:p>
        </w:tc>
        <w:tc>
          <w:tcPr>
            <w:tcW w:type="dxa" w:w="5112"/>
            <w:vAlign w:val="center"/>
          </w:tcPr>
          <w:p>
            <w:pPr>
              <w:spacing w:after="0"/>
            </w:pPr>
            <w:r/>
            <w:r>
              <w:rPr>
                <w:rFonts w:ascii="Aptos" w:hAnsi="Aptos"/>
                <w:b w:val="0"/>
                <w:sz w:val="16"/>
              </w:rPr>
              <w:t>Whether BOOK/EXIT timing protected value</w:t>
            </w:r>
          </w:p>
        </w:tc>
      </w:tr>
      <w:tr>
        <w:tc>
          <w:tcPr>
            <w:tcW w:type="dxa" w:w="5112"/>
            <w:vAlign w:val="center"/>
          </w:tcPr>
          <w:p>
            <w:pPr>
              <w:spacing w:after="0"/>
            </w:pPr>
            <w:r/>
            <w:r>
              <w:rPr>
                <w:rFonts w:ascii="Aptos" w:hAnsi="Aptos"/>
                <w:b w:val="0"/>
                <w:sz w:val="16"/>
              </w:rPr>
              <w:t>Confidence calibration</w:t>
            </w:r>
          </w:p>
        </w:tc>
        <w:tc>
          <w:tcPr>
            <w:tcW w:type="dxa" w:w="5112"/>
            <w:vAlign w:val="center"/>
          </w:tcPr>
          <w:p>
            <w:pPr>
              <w:spacing w:after="0"/>
            </w:pPr>
            <w:r/>
            <w:r>
              <w:rPr>
                <w:rFonts w:ascii="Aptos" w:hAnsi="Aptos"/>
                <w:b w:val="0"/>
                <w:sz w:val="16"/>
              </w:rPr>
              <w:t>Whether 80% calls outperform 60% calls</w:t>
            </w:r>
          </w:p>
        </w:tc>
      </w:tr>
      <w:tr>
        <w:tc>
          <w:tcPr>
            <w:tcW w:type="dxa" w:w="5112"/>
            <w:vAlign w:val="center"/>
          </w:tcPr>
          <w:p>
            <w:pPr>
              <w:spacing w:after="0"/>
            </w:pPr>
            <w:r/>
            <w:r>
              <w:rPr>
                <w:rFonts w:ascii="Aptos" w:hAnsi="Aptos"/>
                <w:b w:val="0"/>
                <w:sz w:val="16"/>
              </w:rPr>
              <w:t>Regime score</w:t>
            </w:r>
          </w:p>
        </w:tc>
        <w:tc>
          <w:tcPr>
            <w:tcW w:type="dxa" w:w="5112"/>
            <w:vAlign w:val="center"/>
          </w:tcPr>
          <w:p>
            <w:pPr>
              <w:spacing w:after="0"/>
            </w:pPr>
            <w:r/>
            <w:r>
              <w:rPr>
                <w:rFonts w:ascii="Aptos" w:hAnsi="Aptos"/>
                <w:b w:val="0"/>
                <w:sz w:val="16"/>
              </w:rPr>
              <w:t>Which agents work in trending/ranging/event markets</w:t>
            </w:r>
          </w:p>
        </w:tc>
      </w:tr>
      <w:tr>
        <w:tc>
          <w:tcPr>
            <w:tcW w:type="dxa" w:w="5112"/>
            <w:vAlign w:val="center"/>
          </w:tcPr>
          <w:p>
            <w:pPr>
              <w:spacing w:after="0"/>
            </w:pPr>
            <w:r/>
            <w:r>
              <w:rPr>
                <w:rFonts w:ascii="Aptos" w:hAnsi="Aptos"/>
                <w:b w:val="0"/>
                <w:sz w:val="16"/>
              </w:rPr>
              <w:t>Baseline uplift</w:t>
            </w:r>
          </w:p>
        </w:tc>
        <w:tc>
          <w:tcPr>
            <w:tcW w:type="dxa" w:w="5112"/>
            <w:vAlign w:val="center"/>
          </w:tcPr>
          <w:p>
            <w:pPr>
              <w:spacing w:after="0"/>
            </w:pPr>
            <w:r/>
            <w:r>
              <w:rPr>
                <w:rFonts w:ascii="Aptos" w:hAnsi="Aptos"/>
                <w:b w:val="0"/>
                <w:sz w:val="16"/>
              </w:rPr>
              <w:t>Whether agents beat deterministic ranking</w:t>
            </w:r>
          </w:p>
        </w:tc>
      </w:tr>
      <w:tr>
        <w:tc>
          <w:tcPr>
            <w:tcW w:type="dxa" w:w="5112"/>
            <w:vAlign w:val="center"/>
          </w:tcPr>
          <w:p>
            <w:pPr>
              <w:spacing w:after="0"/>
            </w:pPr>
            <w:r/>
            <w:r>
              <w:rPr>
                <w:rFonts w:ascii="Aptos" w:hAnsi="Aptos"/>
                <w:b w:val="0"/>
                <w:sz w:val="16"/>
              </w:rPr>
              <w:t>Human comparison</w:t>
            </w:r>
          </w:p>
        </w:tc>
        <w:tc>
          <w:tcPr>
            <w:tcW w:type="dxa" w:w="5112"/>
            <w:vAlign w:val="center"/>
          </w:tcPr>
          <w:p>
            <w:pPr>
              <w:spacing w:after="0"/>
            </w:pPr>
            <w:r/>
            <w:r>
              <w:rPr>
                <w:rFonts w:ascii="Aptos" w:hAnsi="Aptos"/>
                <w:b w:val="0"/>
                <w:sz w:val="16"/>
              </w:rPr>
              <w:t>Whether TIAF adds value beyond discretionary judgment</w:t>
            </w:r>
          </w:p>
        </w:tc>
      </w:tr>
    </w:tbl>
    <w:p>
      <w:pPr>
        <w:spacing w:after="40"/>
      </w:pPr>
    </w:p>
    <w:p>
      <w:pPr>
        <w:pStyle w:val="Heading1"/>
      </w:pPr>
      <w:r>
        <w:t>14. TIAF_A8 — TradeMonitor Integration</w:t>
      </w:r>
    </w:p>
    <w:p>
      <w:r>
        <w:t>Purpose: connect intelligence to TM without leaking broker authority into TIAF.</w:t>
      </w:r>
    </w:p>
    <w:p>
      <w:pPr>
        <w:pStyle w:val="CodeCompact"/>
      </w:pPr>
      <w:r>
        <w:t>TIAF</w:t>
        <w:br/>
        <w:t xml:space="preserve">  -&gt; OpportunityAssessment / PositionAssessment</w:t>
        <w:br/>
        <w:t xml:space="preserve">  -&gt; TradeMonitor</w:t>
        <w:br/>
        <w:t xml:space="preserve">       -&gt; freshness checks</w:t>
        <w:br/>
        <w:t xml:space="preserve">       -&gt; risk management</w:t>
        <w:br/>
        <w:t xml:space="preserve">       -&gt; authority</w:t>
        <w:br/>
        <w:t xml:space="preserve">       -&gt; lifecycle state</w:t>
        <w:br/>
        <w:t xml:space="preserve">       -&gt; execution request</w:t>
        <w:br/>
        <w:t xml:space="preserve">       -&gt; broker</w:t>
        <w:br/>
        <w:t xml:space="preserve">       -&gt; reconciliation</w:t>
        <w:br/>
        <w:t xml:space="preserve">       -&gt; audit</w:t>
        <w:br/>
        <w:t xml:space="preserve">       -&gt; outcome returned to TIAF evaluation</w:t>
      </w:r>
    </w:p>
    <w:p>
      <w:pPr>
        <w:pStyle w:val="ListBullet"/>
        <w:spacing w:after="20"/>
      </w:pPr>
      <w:r>
        <w:t>Define service boundary: local API/IPC first; network API only if needed.</w:t>
      </w:r>
    </w:p>
    <w:p>
      <w:pPr>
        <w:pStyle w:val="ListBullet"/>
        <w:spacing w:after="20"/>
      </w:pPr>
      <w:r>
        <w:t>TM sends adopted positions for assessment.</w:t>
      </w:r>
    </w:p>
    <w:p>
      <w:pPr>
        <w:pStyle w:val="ListBullet"/>
        <w:spacing w:after="20"/>
      </w:pPr>
      <w:r>
        <w:t>TIAF sends structured advice with valid_until/TTL.</w:t>
      </w:r>
    </w:p>
    <w:p>
      <w:pPr>
        <w:pStyle w:val="ListBullet"/>
        <w:spacing w:after="20"/>
      </w:pPr>
      <w:r>
        <w:t>TM rejects stale or malformed advice.</w:t>
      </w:r>
    </w:p>
    <w:p>
      <w:pPr>
        <w:pStyle w:val="ListBullet"/>
        <w:spacing w:after="20"/>
      </w:pPr>
      <w:r>
        <w:t>TIAF receives execution/outcome feedback only as data; it never calls broker order APIs directly.</w:t>
      </w:r>
    </w:p>
    <w:p>
      <w:pPr>
        <w:pStyle w:val="ListBullet"/>
        <w:spacing w:after="20"/>
      </w:pPr>
      <w:r>
        <w:t>Expose health/degradation state so TM can fall back safely when TIAF is unavailable.</w:t>
      </w:r>
    </w:p>
    <w:p>
      <w:pPr>
        <w:pStyle w:val="Heading1"/>
      </w:pPr>
      <w:r>
        <w:t>15. TIAF_A9 — Scanner Integration</w:t>
      </w:r>
    </w:p>
    <w:p>
      <w:r>
        <w:t>Purpose: upgrade existing Day and Positional Scanners without turning them into agent systems themselves.</w:t>
      </w:r>
    </w:p>
    <w:p>
      <w:pPr>
        <w:pStyle w:val="ListBullet"/>
        <w:spacing w:after="20"/>
      </w:pPr>
      <w:r>
        <w:t>Scanner remains discovery/sensor layer.</w:t>
      </w:r>
    </w:p>
    <w:p>
      <w:pPr>
        <w:pStyle w:val="ListBullet"/>
        <w:spacing w:after="20"/>
      </w:pPr>
      <w:r>
        <w:t>Provide TIAF enrichment endpoint for shortlisted symbols or full F&amp;O universe depending budget.</w:t>
      </w:r>
    </w:p>
    <w:p>
      <w:pPr>
        <w:pStyle w:val="ListBullet"/>
        <w:spacing w:after="20"/>
      </w:pPr>
      <w:r>
        <w:t>Day Scanner adds EARLY_OPPORTUNITY and MATURE_AVOID_CHASE views alongside current mover ranking.</w:t>
      </w:r>
    </w:p>
    <w:p>
      <w:pPr>
        <w:pStyle w:val="ListBullet"/>
        <w:spacing w:after="20"/>
      </w:pPr>
      <w:r>
        <w:t>Positional Scanner adds horizon-aware forward opportunity ranking.</w:t>
      </w:r>
    </w:p>
    <w:p>
      <w:pPr>
        <w:pStyle w:val="ListBullet"/>
        <w:spacing w:after="20"/>
      </w:pPr>
      <w:r>
        <w:t>Google Sheet can show TIAF consensus, confidence, expected move, key evidence, invalidation and last assessment.</w:t>
      </w:r>
    </w:p>
    <w:p>
      <w:pPr>
        <w:pStyle w:val="ListBullet"/>
        <w:spacing w:after="20"/>
      </w:pPr>
      <w:r>
        <w:t>Bridge remains optional; TIAF must not depend on the user's personal Sheet setup.</w:t>
      </w:r>
    </w:p>
    <w:p>
      <w:pPr>
        <w:pStyle w:val="Heading1"/>
      </w:pPr>
      <w:r>
        <w:t>16. TIAF_A10 — Production Hardening</w:t>
      </w:r>
    </w:p>
    <w:p>
      <w:pPr>
        <w:pStyle w:val="ListBullet"/>
        <w:spacing w:after="20"/>
      </w:pPr>
      <w:r>
        <w:t>Provider rate-limit handling, retries and exponential backoff.</w:t>
      </w:r>
    </w:p>
    <w:p>
      <w:pPr>
        <w:pStyle w:val="ListBullet"/>
        <w:spacing w:after="20"/>
      </w:pPr>
      <w:r>
        <w:t>Persistent cache and restart-safe assessment store.</w:t>
      </w:r>
    </w:p>
    <w:p>
      <w:pPr>
        <w:pStyle w:val="ListBullet"/>
        <w:spacing w:after="20"/>
      </w:pPr>
      <w:r>
        <w:t>Agent/model fallback policies.</w:t>
      </w:r>
    </w:p>
    <w:p>
      <w:pPr>
        <w:pStyle w:val="ListBullet"/>
        <w:spacing w:after="20"/>
      </w:pPr>
      <w:r>
        <w:t>Circuit breakers for bad/stale market data.</w:t>
      </w:r>
    </w:p>
    <w:p>
      <w:pPr>
        <w:pStyle w:val="ListBullet"/>
        <w:spacing w:after="20"/>
      </w:pPr>
      <w:r>
        <w:t>Structured health reporting per data provider and agent domain.</w:t>
      </w:r>
    </w:p>
    <w:p>
      <w:pPr>
        <w:pStyle w:val="ListBullet"/>
        <w:spacing w:after="20"/>
      </w:pPr>
      <w:r>
        <w:t>Cost/latency telemetry.</w:t>
      </w:r>
    </w:p>
    <w:p>
      <w:pPr>
        <w:pStyle w:val="ListBullet"/>
        <w:spacing w:after="20"/>
      </w:pPr>
      <w:r>
        <w:t>Long-running scheduler and reassessment queue.</w:t>
      </w:r>
    </w:p>
    <w:p>
      <w:pPr>
        <w:pStyle w:val="ListBullet"/>
        <w:spacing w:after="20"/>
      </w:pPr>
      <w:r>
        <w:t>Versioned prompt/policy artifacts.</w:t>
      </w:r>
    </w:p>
    <w:p>
      <w:pPr>
        <w:pStyle w:val="ListBullet"/>
        <w:spacing w:after="20"/>
      </w:pPr>
      <w:r>
        <w:t>Secrets management and .env hygiene.</w:t>
      </w:r>
    </w:p>
    <w:p>
      <w:pPr>
        <w:pStyle w:val="ListBullet"/>
        <w:spacing w:after="20"/>
      </w:pPr>
      <w:r>
        <w:t>Load tests across realistic F&amp;O universe sizes.</w:t>
      </w:r>
    </w:p>
    <w:p>
      <w:pPr>
        <w:pStyle w:val="ListBullet"/>
        <w:spacing w:after="20"/>
      </w:pPr>
      <w:r>
        <w:t>Replay tests using historical days/events.</w:t>
      </w:r>
    </w:p>
    <w:p>
      <w:pPr>
        <w:pStyle w:val="Heading1"/>
      </w:pPr>
      <w:r>
        <w:t>17. Suggested Repository Layout</w:t>
      </w:r>
    </w:p>
    <w:p>
      <w:pPr>
        <w:pStyle w:val="CodeCompact"/>
      </w:pPr>
      <w:r>
        <w:t>trading-intelligence/</w:t>
        <w:br/>
        <w:t xml:space="preserve">  pyproject.toml</w:t>
        <w:br/>
        <w:t xml:space="preserve">  README.md</w:t>
        <w:br/>
        <w:t xml:space="preserve">  .env.example</w:t>
        <w:br/>
        <w:t xml:space="preserve">  docs/</w:t>
        <w:br/>
        <w:t xml:space="preserve">    TIAF_THESIS.md</w:t>
        <w:br/>
        <w:t xml:space="preserve">    IMPLEMENTATION_ROADMAP.md</w:t>
        <w:br/>
        <w:t xml:space="preserve">    CONTRACTS.md</w:t>
        <w:br/>
        <w:t xml:space="preserve">    ARCHITECTURE.md</w:t>
        <w:br/>
        <w:t xml:space="preserve">  src/tiaf/</w:t>
        <w:br/>
        <w:t xml:space="preserve">    contracts/</w:t>
        <w:br/>
        <w:t xml:space="preserve">    config/</w:t>
        <w:br/>
        <w:t xml:space="preserve">    data/</w:t>
        <w:br/>
        <w:t xml:space="preserve">      providers/</w:t>
        <w:br/>
        <w:t xml:space="preserve">      cache/</w:t>
        <w:br/>
        <w:t xml:space="preserve">      features/</w:t>
        <w:br/>
        <w:t xml:space="preserve">    planner/</w:t>
        <w:br/>
        <w:t xml:space="preserve">    agents/</w:t>
        <w:br/>
        <w:t xml:space="preserve">    arbitration/</w:t>
        <w:br/>
        <w:t xml:space="preserve">    workflows/</w:t>
        <w:br/>
        <w:t xml:space="preserve">    memory/</w:t>
        <w:br/>
        <w:t xml:space="preserve">    evaluation/</w:t>
        <w:br/>
        <w:t xml:space="preserve">    service/</w:t>
        <w:br/>
        <w:t xml:space="preserve">    observability/</w:t>
        <w:br/>
        <w:t xml:space="preserve">  scripts/</w:t>
        <w:br/>
        <w:t xml:space="preserve">  tests/</w:t>
        <w:br/>
        <w:t xml:space="preserve">    unit/</w:t>
        <w:br/>
        <w:t xml:space="preserve">    integration/</w:t>
        <w:br/>
        <w:t xml:space="preserve">    replay/</w:t>
        <w:br/>
        <w:t xml:space="preserve">    fixtures/</w:t>
        <w:br/>
      </w:r>
    </w:p>
    <w:p>
      <w:pPr>
        <w:pStyle w:val="Heading1"/>
      </w:pPr>
      <w:r>
        <w:t>18. Technology Choices — Initial Recommendation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6"/>
              </w:rPr>
              <w:t>Concern</w:t>
            </w:r>
          </w:p>
        </w:tc>
        <w:tc>
          <w:tcPr>
            <w:tcW w:type="dxa" w:w="5112"/>
            <w:vAlign w:val="center"/>
            <w:shd w:fill="D9EAF7"/>
          </w:tcPr>
          <w:p>
            <w:pPr>
              <w:spacing w:after="0"/>
            </w:pPr>
            <w:r/>
            <w:r>
              <w:rPr>
                <w:rFonts w:ascii="Aptos" w:hAnsi="Aptos"/>
                <w:b/>
                <w:sz w:val="16"/>
              </w:rPr>
              <w:t>Initial choice</w:t>
            </w:r>
          </w:p>
        </w:tc>
      </w:tr>
      <w:tr>
        <w:tc>
          <w:tcPr>
            <w:tcW w:type="dxa" w:w="5112"/>
            <w:vAlign w:val="center"/>
          </w:tcPr>
          <w:p>
            <w:pPr>
              <w:spacing w:after="0"/>
            </w:pPr>
            <w:r/>
            <w:r>
              <w:rPr>
                <w:rFonts w:ascii="Aptos" w:hAnsi="Aptos"/>
                <w:b w:val="0"/>
                <w:sz w:val="16"/>
              </w:rPr>
              <w:t>Language</w:t>
            </w:r>
          </w:p>
        </w:tc>
        <w:tc>
          <w:tcPr>
            <w:tcW w:type="dxa" w:w="5112"/>
            <w:vAlign w:val="center"/>
          </w:tcPr>
          <w:p>
            <w:pPr>
              <w:spacing w:after="0"/>
            </w:pPr>
            <w:r/>
            <w:r>
              <w:rPr>
                <w:rFonts w:ascii="Aptos" w:hAnsi="Aptos"/>
                <w:b w:val="0"/>
                <w:sz w:val="16"/>
              </w:rPr>
              <w:t>Python 3.12+</w:t>
            </w:r>
          </w:p>
        </w:tc>
      </w:tr>
      <w:tr>
        <w:tc>
          <w:tcPr>
            <w:tcW w:type="dxa" w:w="5112"/>
            <w:vAlign w:val="center"/>
          </w:tcPr>
          <w:p>
            <w:pPr>
              <w:spacing w:after="0"/>
            </w:pPr>
            <w:r/>
            <w:r>
              <w:rPr>
                <w:rFonts w:ascii="Aptos" w:hAnsi="Aptos"/>
                <w:b w:val="0"/>
                <w:sz w:val="16"/>
              </w:rPr>
              <w:t>Agent orchestration</w:t>
            </w:r>
          </w:p>
        </w:tc>
        <w:tc>
          <w:tcPr>
            <w:tcW w:type="dxa" w:w="5112"/>
            <w:vAlign w:val="center"/>
          </w:tcPr>
          <w:p>
            <w:pPr>
              <w:spacing w:after="0"/>
            </w:pPr>
            <w:r/>
            <w:r>
              <w:rPr>
                <w:rFonts w:ascii="Aptos" w:hAnsi="Aptos"/>
                <w:b w:val="0"/>
                <w:sz w:val="16"/>
              </w:rPr>
              <w:t>LangGraph</w:t>
            </w:r>
          </w:p>
        </w:tc>
      </w:tr>
      <w:tr>
        <w:tc>
          <w:tcPr>
            <w:tcW w:type="dxa" w:w="5112"/>
            <w:vAlign w:val="center"/>
          </w:tcPr>
          <w:p>
            <w:pPr>
              <w:spacing w:after="0"/>
            </w:pPr>
            <w:r/>
            <w:r>
              <w:rPr>
                <w:rFonts w:ascii="Aptos" w:hAnsi="Aptos"/>
                <w:b w:val="0"/>
                <w:sz w:val="16"/>
              </w:rPr>
              <w:t>Contracts</w:t>
            </w:r>
          </w:p>
        </w:tc>
        <w:tc>
          <w:tcPr>
            <w:tcW w:type="dxa" w:w="5112"/>
            <w:vAlign w:val="center"/>
          </w:tcPr>
          <w:p>
            <w:pPr>
              <w:spacing w:after="0"/>
            </w:pPr>
            <w:r/>
            <w:r>
              <w:rPr>
                <w:rFonts w:ascii="Aptos" w:hAnsi="Aptos"/>
                <w:b w:val="0"/>
                <w:sz w:val="16"/>
              </w:rPr>
              <w:t>Pydantic models</w:t>
            </w:r>
          </w:p>
        </w:tc>
      </w:tr>
      <w:tr>
        <w:tc>
          <w:tcPr>
            <w:tcW w:type="dxa" w:w="5112"/>
            <w:vAlign w:val="center"/>
          </w:tcPr>
          <w:p>
            <w:pPr>
              <w:spacing w:after="0"/>
            </w:pPr>
            <w:r/>
            <w:r>
              <w:rPr>
                <w:rFonts w:ascii="Aptos" w:hAnsi="Aptos"/>
                <w:b w:val="0"/>
                <w:sz w:val="16"/>
              </w:rPr>
              <w:t>HTTP/service layer</w:t>
            </w:r>
          </w:p>
        </w:tc>
        <w:tc>
          <w:tcPr>
            <w:tcW w:type="dxa" w:w="5112"/>
            <w:vAlign w:val="center"/>
          </w:tcPr>
          <w:p>
            <w:pPr>
              <w:spacing w:after="0"/>
            </w:pPr>
            <w:r/>
            <w:r>
              <w:rPr>
                <w:rFonts w:ascii="Aptos" w:hAnsi="Aptos"/>
                <w:b w:val="0"/>
                <w:sz w:val="16"/>
              </w:rPr>
              <w:t>FastAPI later; start with direct Python service/CLI</w:t>
            </w:r>
          </w:p>
        </w:tc>
      </w:tr>
      <w:tr>
        <w:tc>
          <w:tcPr>
            <w:tcW w:type="dxa" w:w="5112"/>
            <w:vAlign w:val="center"/>
          </w:tcPr>
          <w:p>
            <w:pPr>
              <w:spacing w:after="0"/>
            </w:pPr>
            <w:r/>
            <w:r>
              <w:rPr>
                <w:rFonts w:ascii="Aptos" w:hAnsi="Aptos"/>
                <w:b w:val="0"/>
                <w:sz w:val="16"/>
              </w:rPr>
              <w:t>Persistence</w:t>
            </w:r>
          </w:p>
        </w:tc>
        <w:tc>
          <w:tcPr>
            <w:tcW w:type="dxa" w:w="5112"/>
            <w:vAlign w:val="center"/>
          </w:tcPr>
          <w:p>
            <w:pPr>
              <w:spacing w:after="0"/>
            </w:pPr>
            <w:r/>
            <w:r>
              <w:rPr>
                <w:rFonts w:ascii="Aptos" w:hAnsi="Aptos"/>
                <w:b w:val="0"/>
                <w:sz w:val="16"/>
              </w:rPr>
              <w:t>SQLite initially; PostgreSQL only when justified</w:t>
            </w:r>
          </w:p>
        </w:tc>
      </w:tr>
      <w:tr>
        <w:tc>
          <w:tcPr>
            <w:tcW w:type="dxa" w:w="5112"/>
            <w:vAlign w:val="center"/>
          </w:tcPr>
          <w:p>
            <w:pPr>
              <w:spacing w:after="0"/>
            </w:pPr>
            <w:r/>
            <w:r>
              <w:rPr>
                <w:rFonts w:ascii="Aptos" w:hAnsi="Aptos"/>
                <w:b w:val="0"/>
                <w:sz w:val="16"/>
              </w:rPr>
              <w:t>Dataframes/features</w:t>
            </w:r>
          </w:p>
        </w:tc>
        <w:tc>
          <w:tcPr>
            <w:tcW w:type="dxa" w:w="5112"/>
            <w:vAlign w:val="center"/>
          </w:tcPr>
          <w:p>
            <w:pPr>
              <w:spacing w:after="0"/>
            </w:pPr>
            <w:r/>
            <w:r>
              <w:rPr>
                <w:rFonts w:ascii="Aptos" w:hAnsi="Aptos"/>
                <w:b w:val="0"/>
                <w:sz w:val="16"/>
              </w:rPr>
              <w:t>pandas / NumPy</w:t>
            </w:r>
          </w:p>
        </w:tc>
      </w:tr>
      <w:tr>
        <w:tc>
          <w:tcPr>
            <w:tcW w:type="dxa" w:w="5112"/>
            <w:vAlign w:val="center"/>
          </w:tcPr>
          <w:p>
            <w:pPr>
              <w:spacing w:after="0"/>
            </w:pPr>
            <w:r/>
            <w:r>
              <w:rPr>
                <w:rFonts w:ascii="Aptos" w:hAnsi="Aptos"/>
                <w:b w:val="0"/>
                <w:sz w:val="16"/>
              </w:rPr>
              <w:t>Scheduling</w:t>
            </w:r>
          </w:p>
        </w:tc>
        <w:tc>
          <w:tcPr>
            <w:tcW w:type="dxa" w:w="5112"/>
            <w:vAlign w:val="center"/>
          </w:tcPr>
          <w:p>
            <w:pPr>
              <w:spacing w:after="0"/>
            </w:pPr>
            <w:r/>
            <w:r>
              <w:rPr>
                <w:rFonts w:ascii="Aptos" w:hAnsi="Aptos"/>
                <w:b w:val="0"/>
                <w:sz w:val="16"/>
              </w:rPr>
              <w:t>Internal scheduler/queue first; external scheduler later if needed</w:t>
            </w:r>
          </w:p>
        </w:tc>
      </w:tr>
      <w:tr>
        <w:tc>
          <w:tcPr>
            <w:tcW w:type="dxa" w:w="5112"/>
            <w:vAlign w:val="center"/>
          </w:tcPr>
          <w:p>
            <w:pPr>
              <w:spacing w:after="0"/>
            </w:pPr>
            <w:r/>
            <w:r>
              <w:rPr>
                <w:rFonts w:ascii="Aptos" w:hAnsi="Aptos"/>
                <w:b w:val="0"/>
                <w:sz w:val="16"/>
              </w:rPr>
              <w:t>Testing</w:t>
            </w:r>
          </w:p>
        </w:tc>
        <w:tc>
          <w:tcPr>
            <w:tcW w:type="dxa" w:w="5112"/>
            <w:vAlign w:val="center"/>
          </w:tcPr>
          <w:p>
            <w:pPr>
              <w:spacing w:after="0"/>
            </w:pPr>
            <w:r/>
            <w:r>
              <w:rPr>
                <w:rFonts w:ascii="Aptos" w:hAnsi="Aptos"/>
                <w:b w:val="0"/>
                <w:sz w:val="16"/>
              </w:rPr>
              <w:t>pytest</w:t>
            </w:r>
          </w:p>
        </w:tc>
      </w:tr>
      <w:tr>
        <w:tc>
          <w:tcPr>
            <w:tcW w:type="dxa" w:w="5112"/>
            <w:vAlign w:val="center"/>
          </w:tcPr>
          <w:p>
            <w:pPr>
              <w:spacing w:after="0"/>
            </w:pPr>
            <w:r/>
            <w:r>
              <w:rPr>
                <w:rFonts w:ascii="Aptos" w:hAnsi="Aptos"/>
                <w:b w:val="0"/>
                <w:sz w:val="16"/>
              </w:rPr>
              <w:t>Structured logs</w:t>
            </w:r>
          </w:p>
        </w:tc>
        <w:tc>
          <w:tcPr>
            <w:tcW w:type="dxa" w:w="5112"/>
            <w:vAlign w:val="center"/>
          </w:tcPr>
          <w:p>
            <w:pPr>
              <w:spacing w:after="0"/>
            </w:pPr>
            <w:r/>
            <w:r>
              <w:rPr>
                <w:rFonts w:ascii="Aptos" w:hAnsi="Aptos"/>
                <w:b w:val="0"/>
                <w:sz w:val="16"/>
              </w:rPr>
              <w:t>stdlib logging or structlog-style structured records</w:t>
            </w:r>
          </w:p>
        </w:tc>
      </w:tr>
      <w:tr>
        <w:tc>
          <w:tcPr>
            <w:tcW w:type="dxa" w:w="5112"/>
            <w:vAlign w:val="center"/>
          </w:tcPr>
          <w:p>
            <w:pPr>
              <w:spacing w:after="0"/>
            </w:pPr>
            <w:r/>
            <w:r>
              <w:rPr>
                <w:rFonts w:ascii="Aptos" w:hAnsi="Aptos"/>
                <w:b w:val="0"/>
                <w:sz w:val="16"/>
              </w:rPr>
              <w:t>Config/secrets</w:t>
            </w:r>
          </w:p>
        </w:tc>
        <w:tc>
          <w:tcPr>
            <w:tcW w:type="dxa" w:w="5112"/>
            <w:vAlign w:val="center"/>
          </w:tcPr>
          <w:p>
            <w:pPr>
              <w:spacing w:after="0"/>
            </w:pPr>
            <w:r/>
            <w:r>
              <w:rPr>
                <w:rFonts w:ascii="Aptos" w:hAnsi="Aptos"/>
                <w:b w:val="0"/>
                <w:sz w:val="16"/>
              </w:rPr>
              <w:t>.env locally + explicit settings model; never commit secrets</w:t>
            </w:r>
          </w:p>
        </w:tc>
      </w:tr>
    </w:tbl>
    <w:p>
      <w:pPr>
        <w:spacing w:after="40"/>
      </w:pPr>
    </w:p>
    <w:p>
      <w:r>
        <w:t>Technology choices are intentionally conservative. The complexity should live in market intelligence, not infrastructure.</w:t>
      </w:r>
    </w:p>
    <w:p>
      <w:pPr>
        <w:pStyle w:val="Heading1"/>
      </w:pPr>
      <w:r>
        <w:t>19. Testing Strategy</w:t>
      </w:r>
    </w:p>
    <w:p>
      <w:pPr>
        <w:pStyle w:val="ListBullet"/>
        <w:spacing w:after="20"/>
      </w:pPr>
      <w:r>
        <w:t>Unit tests for every deterministic feature and contract.</w:t>
      </w:r>
    </w:p>
    <w:p>
      <w:pPr>
        <w:pStyle w:val="ListBullet"/>
        <w:spacing w:after="20"/>
      </w:pPr>
      <w:r>
        <w:t>Provider contract tests using recorded/mock API responses.</w:t>
      </w:r>
    </w:p>
    <w:p>
      <w:pPr>
        <w:pStyle w:val="ListBullet"/>
        <w:spacing w:after="20"/>
      </w:pPr>
      <w:r>
        <w:t>Snapshot tests for AnalysisContext consistency.</w:t>
      </w:r>
    </w:p>
    <w:p>
      <w:pPr>
        <w:pStyle w:val="ListBullet"/>
        <w:spacing w:after="20"/>
      </w:pPr>
      <w:r>
        <w:t>Agent tests focused on schema adherence and evidence use, not exact wording.</w:t>
      </w:r>
    </w:p>
    <w:p>
      <w:pPr>
        <w:pStyle w:val="ListBullet"/>
        <w:spacing w:after="20"/>
      </w:pPr>
      <w:r>
        <w:t>Adversarial tests: missing data, contradictory evidence, stale news, conflicting agents.</w:t>
      </w:r>
    </w:p>
    <w:p>
      <w:pPr>
        <w:pStyle w:val="ListBullet"/>
        <w:spacing w:after="20"/>
      </w:pPr>
      <w:r>
        <w:t>Replay tests on known historical market days.</w:t>
      </w:r>
    </w:p>
    <w:p>
      <w:pPr>
        <w:pStyle w:val="ListBullet"/>
        <w:spacing w:after="20"/>
      </w:pPr>
      <w:r>
        <w:t>Outcome-evaluation tests to prevent look-ahead leakage.</w:t>
      </w:r>
    </w:p>
    <w:p>
      <w:pPr>
        <w:pStyle w:val="ListBullet"/>
        <w:spacing w:after="20"/>
      </w:pPr>
      <w:r>
        <w:t>No broker-write tests in TIAF; execution belongs to TradeMonitor.</w:t>
      </w:r>
    </w:p>
    <w:p>
      <w:pPr>
        <w:pStyle w:val="Heading1"/>
      </w:pPr>
      <w:r>
        <w:t>20. What We Deliberately Do Not Build Initially</w:t>
      </w:r>
    </w:p>
    <w:p>
      <w:pPr>
        <w:pStyle w:val="ListBullet"/>
        <w:spacing w:after="20"/>
      </w:pPr>
      <w:r>
        <w:t>Our own broker execution engine.</w:t>
      </w:r>
    </w:p>
    <w:p>
      <w:pPr>
        <w:pStyle w:val="ListBullet"/>
        <w:spacing w:after="20"/>
      </w:pPr>
      <w:r>
        <w:t>Our own charting platform.</w:t>
      </w:r>
    </w:p>
    <w:p>
      <w:pPr>
        <w:pStyle w:val="ListBullet"/>
        <w:spacing w:after="20"/>
      </w:pPr>
      <w:r>
        <w:t>Our own general-purpose backtesting platform.</w:t>
      </w:r>
    </w:p>
    <w:p>
      <w:pPr>
        <w:pStyle w:val="ListBullet"/>
        <w:spacing w:after="20"/>
      </w:pPr>
      <w:r>
        <w:t>A fully autonomous trading oracle.</w:t>
      </w:r>
    </w:p>
    <w:p>
      <w:pPr>
        <w:pStyle w:val="ListBullet"/>
        <w:spacing w:after="20"/>
      </w:pPr>
      <w:r>
        <w:t>Deep research on every stock at every refresh.</w:t>
      </w:r>
    </w:p>
    <w:p>
      <w:pPr>
        <w:pStyle w:val="ListBullet"/>
        <w:spacing w:after="20"/>
      </w:pPr>
      <w:r>
        <w:t>Automatic model-weight learning before enough out-of-sample evidence exists.</w:t>
      </w:r>
    </w:p>
    <w:p>
      <w:pPr>
        <w:pStyle w:val="ListBullet"/>
        <w:spacing w:after="20"/>
      </w:pPr>
      <w:r>
        <w:t>UI-heavy dashboards before the intelligence contracts and workflows stabilize.</w:t>
      </w:r>
    </w:p>
    <w:p>
      <w:pPr>
        <w:pStyle w:val="Heading1"/>
      </w:pPr>
      <w:r>
        <w:t>21. Human-in-the-Loop During Development</w:t>
      </w:r>
    </w:p>
    <w:p>
      <w:r>
        <w:t>Human input is most valuable where the system exposes an ambiguity or misses a form of market intuition. The user should review real recommendations, point out missing context, and provide judgment on whether a result feels economically sensible. These observations become new tests, features, agent responsibilities or arbitration rules.</w:t>
      </w:r>
    </w:p>
    <w:p>
      <w:pPr>
        <w:pStyle w:val="CodeCompact"/>
      </w:pPr>
      <w:r>
        <w:t>Development feedback loop</w:t>
        <w:br/>
        <w:t>-------------------------</w:t>
        <w:br/>
        <w:t>TIAF recommendation</w:t>
        <w:br/>
        <w:t xml:space="preserve">      -&gt;</w:t>
        <w:br/>
        <w:t>human review / real market outcome</w:t>
        <w:br/>
        <w:t xml:space="preserve">      -&gt;</w:t>
        <w:br/>
        <w:t>identify missing insight or failure mode</w:t>
        <w:br/>
        <w:t xml:space="preserve">      -&gt;</w:t>
        <w:br/>
        <w:t>amend data/agent/arbitration</w:t>
        <w:br/>
        <w:t xml:space="preserve">      -&gt;</w:t>
        <w:br/>
        <w:t>replay + regression test</w:t>
        <w:br/>
        <w:t xml:space="preserve">      -&gt;</w:t>
        <w:br/>
        <w:t>forward-test again</w:t>
      </w:r>
    </w:p>
    <w:p>
      <w:pPr>
        <w:pStyle w:val="Heading1"/>
      </w:pPr>
      <w:r>
        <w:t>22. Practical Development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rFonts w:ascii="Aptos" w:hAnsi="Aptos"/>
                <w:b/>
                <w:sz w:val="16"/>
              </w:rPr>
              <w:t>Phase</w:t>
            </w:r>
          </w:p>
        </w:tc>
        <w:tc>
          <w:tcPr>
            <w:tcW w:type="dxa" w:w="3408"/>
            <w:vAlign w:val="center"/>
            <w:shd w:fill="D9EAF7"/>
          </w:tcPr>
          <w:p>
            <w:pPr>
              <w:spacing w:after="0"/>
            </w:pPr>
            <w:r/>
            <w:r>
              <w:rPr>
                <w:rFonts w:ascii="Aptos" w:hAnsi="Aptos"/>
                <w:b/>
                <w:sz w:val="16"/>
              </w:rPr>
              <w:t>Work focus</w:t>
            </w:r>
          </w:p>
        </w:tc>
        <w:tc>
          <w:tcPr>
            <w:tcW w:type="dxa" w:w="3408"/>
            <w:vAlign w:val="center"/>
            <w:shd w:fill="D9EAF7"/>
          </w:tcPr>
          <w:p>
            <w:pPr>
              <w:spacing w:after="0"/>
            </w:pPr>
            <w:r/>
            <w:r>
              <w:rPr>
                <w:rFonts w:ascii="Aptos" w:hAnsi="Aptos"/>
                <w:b/>
                <w:sz w:val="16"/>
              </w:rPr>
              <w:t>Do not proceed until</w:t>
            </w:r>
          </w:p>
        </w:tc>
      </w:tr>
      <w:tr>
        <w:tc>
          <w:tcPr>
            <w:tcW w:type="dxa" w:w="3408"/>
            <w:vAlign w:val="center"/>
          </w:tcPr>
          <w:p>
            <w:pPr>
              <w:spacing w:after="0"/>
            </w:pPr>
            <w:r/>
            <w:r>
              <w:rPr>
                <w:rFonts w:ascii="Aptos" w:hAnsi="Aptos"/>
                <w:b w:val="0"/>
                <w:sz w:val="16"/>
              </w:rPr>
              <w:t>Phase 1</w:t>
            </w:r>
          </w:p>
        </w:tc>
        <w:tc>
          <w:tcPr>
            <w:tcW w:type="dxa" w:w="3408"/>
            <w:vAlign w:val="center"/>
          </w:tcPr>
          <w:p>
            <w:pPr>
              <w:spacing w:after="0"/>
            </w:pPr>
            <w:r/>
            <w:r>
              <w:rPr>
                <w:rFonts w:ascii="Aptos" w:hAnsi="Aptos"/>
                <w:b w:val="0"/>
                <w:sz w:val="16"/>
              </w:rPr>
              <w:t>A0 + A1</w:t>
            </w:r>
          </w:p>
        </w:tc>
        <w:tc>
          <w:tcPr>
            <w:tcW w:type="dxa" w:w="3408"/>
            <w:vAlign w:val="center"/>
          </w:tcPr>
          <w:p>
            <w:pPr>
              <w:spacing w:after="0"/>
            </w:pPr>
            <w:r/>
            <w:r>
              <w:rPr>
                <w:rFonts w:ascii="Aptos" w:hAnsi="Aptos"/>
                <w:b w:val="0"/>
                <w:sz w:val="16"/>
              </w:rPr>
              <w:t>Contracts and data snapshots are stable</w:t>
            </w:r>
          </w:p>
        </w:tc>
      </w:tr>
      <w:tr>
        <w:tc>
          <w:tcPr>
            <w:tcW w:type="dxa" w:w="3408"/>
            <w:vAlign w:val="center"/>
          </w:tcPr>
          <w:p>
            <w:pPr>
              <w:spacing w:after="0"/>
            </w:pPr>
            <w:r/>
            <w:r>
              <w:rPr>
                <w:rFonts w:ascii="Aptos" w:hAnsi="Aptos"/>
                <w:b w:val="0"/>
                <w:sz w:val="16"/>
              </w:rPr>
              <w:t>Phase 2</w:t>
            </w:r>
          </w:p>
        </w:tc>
        <w:tc>
          <w:tcPr>
            <w:tcW w:type="dxa" w:w="3408"/>
            <w:vAlign w:val="center"/>
          </w:tcPr>
          <w:p>
            <w:pPr>
              <w:spacing w:after="0"/>
            </w:pPr>
            <w:r/>
            <w:r>
              <w:rPr>
                <w:rFonts w:ascii="Aptos" w:hAnsi="Aptos"/>
                <w:b w:val="0"/>
                <w:sz w:val="16"/>
              </w:rPr>
              <w:t>A2</w:t>
            </w:r>
          </w:p>
        </w:tc>
        <w:tc>
          <w:tcPr>
            <w:tcW w:type="dxa" w:w="3408"/>
            <w:vAlign w:val="center"/>
          </w:tcPr>
          <w:p>
            <w:pPr>
              <w:spacing w:after="0"/>
            </w:pPr>
            <w:r/>
            <w:r>
              <w:rPr>
                <w:rFonts w:ascii="Aptos" w:hAnsi="Aptos"/>
                <w:b w:val="0"/>
                <w:sz w:val="16"/>
              </w:rPr>
              <w:t>Deterministic baseline is reproducible</w:t>
            </w:r>
          </w:p>
        </w:tc>
      </w:tr>
      <w:tr>
        <w:tc>
          <w:tcPr>
            <w:tcW w:type="dxa" w:w="3408"/>
            <w:vAlign w:val="center"/>
          </w:tcPr>
          <w:p>
            <w:pPr>
              <w:spacing w:after="0"/>
            </w:pPr>
            <w:r/>
            <w:r>
              <w:rPr>
                <w:rFonts w:ascii="Aptos" w:hAnsi="Aptos"/>
                <w:b w:val="0"/>
                <w:sz w:val="16"/>
              </w:rPr>
              <w:t>Phase 3</w:t>
            </w:r>
          </w:p>
        </w:tc>
        <w:tc>
          <w:tcPr>
            <w:tcW w:type="dxa" w:w="3408"/>
            <w:vAlign w:val="center"/>
          </w:tcPr>
          <w:p>
            <w:pPr>
              <w:spacing w:after="0"/>
            </w:pPr>
            <w:r/>
            <w:r>
              <w:rPr>
                <w:rFonts w:ascii="Aptos" w:hAnsi="Aptos"/>
                <w:b w:val="0"/>
                <w:sz w:val="16"/>
              </w:rPr>
              <w:t>A3 + A4</w:t>
            </w:r>
          </w:p>
        </w:tc>
        <w:tc>
          <w:tcPr>
            <w:tcW w:type="dxa" w:w="3408"/>
            <w:vAlign w:val="center"/>
          </w:tcPr>
          <w:p>
            <w:pPr>
              <w:spacing w:after="0"/>
            </w:pPr>
            <w:r/>
            <w:r>
              <w:rPr>
                <w:rFonts w:ascii="Aptos" w:hAnsi="Aptos"/>
                <w:b w:val="0"/>
                <w:sz w:val="16"/>
              </w:rPr>
              <w:t>Agents produce structured, challenged opportunity assessments</w:t>
            </w:r>
          </w:p>
        </w:tc>
      </w:tr>
      <w:tr>
        <w:tc>
          <w:tcPr>
            <w:tcW w:type="dxa" w:w="3408"/>
            <w:vAlign w:val="center"/>
          </w:tcPr>
          <w:p>
            <w:pPr>
              <w:spacing w:after="0"/>
            </w:pPr>
            <w:r/>
            <w:r>
              <w:rPr>
                <w:rFonts w:ascii="Aptos" w:hAnsi="Aptos"/>
                <w:b w:val="0"/>
                <w:sz w:val="16"/>
              </w:rPr>
              <w:t>Phase 4</w:t>
            </w:r>
          </w:p>
        </w:tc>
        <w:tc>
          <w:tcPr>
            <w:tcW w:type="dxa" w:w="3408"/>
            <w:vAlign w:val="center"/>
          </w:tcPr>
          <w:p>
            <w:pPr>
              <w:spacing w:after="0"/>
            </w:pPr>
            <w:r/>
            <w:r>
              <w:rPr>
                <w:rFonts w:ascii="Aptos" w:hAnsi="Aptos"/>
                <w:b w:val="0"/>
                <w:sz w:val="16"/>
              </w:rPr>
              <w:t>A5</w:t>
            </w:r>
          </w:p>
        </w:tc>
        <w:tc>
          <w:tcPr>
            <w:tcW w:type="dxa" w:w="3408"/>
            <w:vAlign w:val="center"/>
          </w:tcPr>
          <w:p>
            <w:pPr>
              <w:spacing w:after="0"/>
            </w:pPr>
            <w:r/>
            <w:r>
              <w:rPr>
                <w:rFonts w:ascii="Aptos" w:hAnsi="Aptos"/>
                <w:b w:val="0"/>
                <w:sz w:val="16"/>
              </w:rPr>
              <w:t>Adopted-position management works in advisory mode</w:t>
            </w:r>
          </w:p>
        </w:tc>
      </w:tr>
      <w:tr>
        <w:tc>
          <w:tcPr>
            <w:tcW w:type="dxa" w:w="3408"/>
            <w:vAlign w:val="center"/>
          </w:tcPr>
          <w:p>
            <w:pPr>
              <w:spacing w:after="0"/>
            </w:pPr>
            <w:r/>
            <w:r>
              <w:rPr>
                <w:rFonts w:ascii="Aptos" w:hAnsi="Aptos"/>
                <w:b w:val="0"/>
                <w:sz w:val="16"/>
              </w:rPr>
              <w:t>Phase 5</w:t>
            </w:r>
          </w:p>
        </w:tc>
        <w:tc>
          <w:tcPr>
            <w:tcW w:type="dxa" w:w="3408"/>
            <w:vAlign w:val="center"/>
          </w:tcPr>
          <w:p>
            <w:pPr>
              <w:spacing w:after="0"/>
            </w:pPr>
            <w:r/>
            <w:r>
              <w:rPr>
                <w:rFonts w:ascii="Aptos" w:hAnsi="Aptos"/>
                <w:b w:val="0"/>
                <w:sz w:val="16"/>
              </w:rPr>
              <w:t>A6</w:t>
            </w:r>
          </w:p>
        </w:tc>
        <w:tc>
          <w:tcPr>
            <w:tcW w:type="dxa" w:w="3408"/>
            <w:vAlign w:val="center"/>
          </w:tcPr>
          <w:p>
            <w:pPr>
              <w:spacing w:after="0"/>
            </w:pPr>
            <w:r/>
            <w:r>
              <w:rPr>
                <w:rFonts w:ascii="Aptos" w:hAnsi="Aptos"/>
                <w:b w:val="0"/>
                <w:sz w:val="16"/>
              </w:rPr>
              <w:t>Option expression can reject bad contracts</w:t>
            </w:r>
          </w:p>
        </w:tc>
      </w:tr>
      <w:tr>
        <w:tc>
          <w:tcPr>
            <w:tcW w:type="dxa" w:w="3408"/>
            <w:vAlign w:val="center"/>
          </w:tcPr>
          <w:p>
            <w:pPr>
              <w:spacing w:after="0"/>
            </w:pPr>
            <w:r/>
            <w:r>
              <w:rPr>
                <w:rFonts w:ascii="Aptos" w:hAnsi="Aptos"/>
                <w:b w:val="0"/>
                <w:sz w:val="16"/>
              </w:rPr>
              <w:t>Phase 6</w:t>
            </w:r>
          </w:p>
        </w:tc>
        <w:tc>
          <w:tcPr>
            <w:tcW w:type="dxa" w:w="3408"/>
            <w:vAlign w:val="center"/>
          </w:tcPr>
          <w:p>
            <w:pPr>
              <w:spacing w:after="0"/>
            </w:pPr>
            <w:r/>
            <w:r>
              <w:rPr>
                <w:rFonts w:ascii="Aptos" w:hAnsi="Aptos"/>
                <w:b w:val="0"/>
                <w:sz w:val="16"/>
              </w:rPr>
              <w:t>A7</w:t>
            </w:r>
          </w:p>
        </w:tc>
        <w:tc>
          <w:tcPr>
            <w:tcW w:type="dxa" w:w="3408"/>
            <w:vAlign w:val="center"/>
          </w:tcPr>
          <w:p>
            <w:pPr>
              <w:spacing w:after="0"/>
            </w:pPr>
            <w:r/>
            <w:r>
              <w:rPr>
                <w:rFonts w:ascii="Aptos" w:hAnsi="Aptos"/>
                <w:b w:val="0"/>
                <w:sz w:val="16"/>
              </w:rPr>
              <w:t>We can measure whether agents add value</w:t>
            </w:r>
          </w:p>
        </w:tc>
      </w:tr>
      <w:tr>
        <w:tc>
          <w:tcPr>
            <w:tcW w:type="dxa" w:w="3408"/>
            <w:vAlign w:val="center"/>
          </w:tcPr>
          <w:p>
            <w:pPr>
              <w:spacing w:after="0"/>
            </w:pPr>
            <w:r/>
            <w:r>
              <w:rPr>
                <w:rFonts w:ascii="Aptos" w:hAnsi="Aptos"/>
                <w:b w:val="0"/>
                <w:sz w:val="16"/>
              </w:rPr>
              <w:t>Phase 7</w:t>
            </w:r>
          </w:p>
        </w:tc>
        <w:tc>
          <w:tcPr>
            <w:tcW w:type="dxa" w:w="3408"/>
            <w:vAlign w:val="center"/>
          </w:tcPr>
          <w:p>
            <w:pPr>
              <w:spacing w:after="0"/>
            </w:pPr>
            <w:r/>
            <w:r>
              <w:rPr>
                <w:rFonts w:ascii="Aptos" w:hAnsi="Aptos"/>
                <w:b w:val="0"/>
                <w:sz w:val="16"/>
              </w:rPr>
              <w:t>A8</w:t>
            </w:r>
          </w:p>
        </w:tc>
        <w:tc>
          <w:tcPr>
            <w:tcW w:type="dxa" w:w="3408"/>
            <w:vAlign w:val="center"/>
          </w:tcPr>
          <w:p>
            <w:pPr>
              <w:spacing w:after="0"/>
            </w:pPr>
            <w:r/>
            <w:r>
              <w:rPr>
                <w:rFonts w:ascii="Aptos" w:hAnsi="Aptos"/>
                <w:b w:val="0"/>
                <w:sz w:val="16"/>
              </w:rPr>
              <w:t>TM consumes TIAF advice safely</w:t>
            </w:r>
          </w:p>
        </w:tc>
      </w:tr>
      <w:tr>
        <w:tc>
          <w:tcPr>
            <w:tcW w:type="dxa" w:w="3408"/>
            <w:vAlign w:val="center"/>
          </w:tcPr>
          <w:p>
            <w:pPr>
              <w:spacing w:after="0"/>
            </w:pPr>
            <w:r/>
            <w:r>
              <w:rPr>
                <w:rFonts w:ascii="Aptos" w:hAnsi="Aptos"/>
                <w:b w:val="0"/>
                <w:sz w:val="16"/>
              </w:rPr>
              <w:t>Phase 8</w:t>
            </w:r>
          </w:p>
        </w:tc>
        <w:tc>
          <w:tcPr>
            <w:tcW w:type="dxa" w:w="3408"/>
            <w:vAlign w:val="center"/>
          </w:tcPr>
          <w:p>
            <w:pPr>
              <w:spacing w:after="0"/>
            </w:pPr>
            <w:r/>
            <w:r>
              <w:rPr>
                <w:rFonts w:ascii="Aptos" w:hAnsi="Aptos"/>
                <w:b w:val="0"/>
                <w:sz w:val="16"/>
              </w:rPr>
              <w:t>A9 + A10</w:t>
            </w:r>
          </w:p>
        </w:tc>
        <w:tc>
          <w:tcPr>
            <w:tcW w:type="dxa" w:w="3408"/>
            <w:vAlign w:val="center"/>
          </w:tcPr>
          <w:p>
            <w:pPr>
              <w:spacing w:after="0"/>
            </w:pPr>
            <w:r/>
            <w:r>
              <w:rPr>
                <w:rFonts w:ascii="Aptos" w:hAnsi="Aptos"/>
                <w:b w:val="0"/>
                <w:sz w:val="16"/>
              </w:rPr>
              <w:t>Scanners integrate and service is operationally hardened</w:t>
            </w:r>
          </w:p>
        </w:tc>
      </w:tr>
    </w:tbl>
    <w:p>
      <w:pPr>
        <w:spacing w:after="40"/>
      </w:pPr>
    </w:p>
    <w:p>
      <w:pPr>
        <w:pStyle w:val="Heading1"/>
      </w:pPr>
      <w:r>
        <w:t>23. First Coding Session — Exact Start Point</w:t>
      </w:r>
    </w:p>
    <w:p>
      <w:r>
        <w:t>When the repository is ready, implementation should begin with TIAF_A0. The first code should be boring by design: domain contracts, configuration, package structure, identifiers, serialization and tests.</w:t>
      </w:r>
    </w:p>
    <w:p>
      <w:pPr>
        <w:pStyle w:val="CodeCompact"/>
      </w:pPr>
      <w:r>
        <w:t>First target</w:t>
        <w:br/>
        <w:t>------------</w:t>
        <w:br/>
        <w:t>1. src/tiaf/contracts/</w:t>
        <w:br/>
        <w:t>2. src/tiaf/config/</w:t>
        <w:br/>
        <w:t>3. tests/unit/contracts/</w:t>
        <w:br/>
        <w:t>4. pyproject.toml</w:t>
        <w:br/>
        <w:t>5. README.md</w:t>
        <w:br/>
        <w:t>6. .env.example</w:t>
        <w:br/>
        <w:t>7. pytest clean</w:t>
        <w:br/>
        <w:br/>
        <w:t>No LangGraph workflow yet.</w:t>
        <w:br/>
        <w:t>No LLM call yet.</w:t>
        <w:br/>
        <w:t>No broker integration yet.</w:t>
        <w:br/>
        <w:t>No attempt to predict a stock yet.</w:t>
      </w:r>
    </w:p>
    <w:p>
      <w:r>
        <w:t>This prevents the project from becoming a collection of prompts before the engineering foundation exists.</w:t>
      </w:r>
    </w:p>
    <w:p>
      <w:pPr>
        <w:pStyle w:val="Heading1"/>
      </w:pPr>
      <w:r>
        <w:t>24. Milestone Tagging Convention</w:t>
      </w:r>
    </w:p>
    <w:p>
      <w:pPr>
        <w:pStyle w:val="CodeCompact"/>
      </w:pPr>
      <w:r>
        <w:t>Suggested tags</w:t>
        <w:br/>
        <w:t>--------------</w:t>
        <w:br/>
        <w:t>tiaf-a0</w:t>
        <w:br/>
        <w:t>tiaf-a1</w:t>
        <w:br/>
        <w:t>tiaf-a2</w:t>
        <w:br/>
        <w:t>...</w:t>
        <w:br/>
        <w:t>tiaf-a10</w:t>
        <w:br/>
        <w:br/>
        <w:t>Commit examples:</w:t>
        <w:br/>
        <w:t>TIAF/A0: establish domain contracts and project foundation</w:t>
        <w:br/>
        <w:t>TIAF/A1: add normalized market data foundation</w:t>
        <w:br/>
        <w:t>TIAF/A2: add deterministic opportunity baseline</w:t>
      </w:r>
    </w:p>
    <w:p>
      <w:pPr>
        <w:pStyle w:val="Heading1"/>
      </w:pPr>
      <w:r>
        <w:t>25. Definition of 'Ready for TradeMonitor'</w:t>
      </w:r>
    </w:p>
    <w:p>
      <w:r>
        <w:t>TIAF is ready for meaningful TM integration when both opportunity intelligence and position intelligence are usable without direct manual prompting.</w:t>
      </w:r>
    </w:p>
    <w:p>
      <w:pPr>
        <w:pStyle w:val="ListBullet"/>
        <w:spacing w:after="20"/>
      </w:pPr>
      <w:r>
        <w:t>A watchlist-only request can generate a ranked 0–5 opportunity set.</w:t>
      </w:r>
    </w:p>
    <w:p>
      <w:pPr>
        <w:pStyle w:val="ListBullet"/>
        <w:spacing w:after="20"/>
      </w:pPr>
      <w:r>
        <w:t>An adopted position can receive stateful HOLD/PROTECT/BOOK/EXIT advice.</w:t>
      </w:r>
    </w:p>
    <w:p>
      <w:pPr>
        <w:pStyle w:val="ListBullet"/>
        <w:spacing w:after="20"/>
      </w:pPr>
      <w:r>
        <w:t>Advice includes confidence, evidence, disagreement, timestamp and expiry.</w:t>
      </w:r>
    </w:p>
    <w:p>
      <w:pPr>
        <w:pStyle w:val="ListBullet"/>
        <w:spacing w:after="20"/>
      </w:pPr>
      <w:r>
        <w:t>The system survives missing/stale data without fabricating confidence.</w:t>
      </w:r>
    </w:p>
    <w:p>
      <w:pPr>
        <w:pStyle w:val="ListBullet"/>
        <w:spacing w:after="20"/>
      </w:pPr>
      <w:r>
        <w:t>Deterministic baseline and human comparison exist.</w:t>
      </w:r>
    </w:p>
    <w:p>
      <w:pPr>
        <w:pStyle w:val="ListBullet"/>
        <w:spacing w:after="20"/>
      </w:pPr>
      <w:r>
        <w:t>At least preliminary forward/replay evidence shows value beyond simple scoring.</w:t>
      </w:r>
    </w:p>
    <w:p>
      <w:pPr>
        <w:pStyle w:val="ListBullet"/>
        <w:spacing w:after="20"/>
      </w:pPr>
      <w:r>
        <w:t>The service boundary does not expose broker execution methods.</w:t>
      </w:r>
    </w:p>
    <w:p>
      <w:pPr>
        <w:pStyle w:val="Heading1"/>
      </w:pPr>
      <w:r>
        <w:t>26. Roadmap Decision</w:t>
      </w:r>
    </w:p>
    <w:p>
      <w:r>
        <w:rPr>
          <w:b/>
        </w:rPr>
        <w:t>Implementation is approved to begin with TIAF_A0 immediately after the repository is created. No additional architecture discussion is required before A0. New insights discovered during implementation should be treated as normal iterative engineering and fed back into the roadmap rather than blocking progress.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Implementation Roadmap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TradingIntelligence / TIAF — Implementation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ompact">
    <w:name w:val="Code Compact"/>
    <w:pPr>
      <w:spacing w:before="60" w:after="60"/>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