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Eyebrow"/>
      </w:pPr>
      <w:r>
        <w:t xml:space="preserve">TRADINGINTELLIGENCE × TRADEMONITOR  /  ILLUSTRATED ARCHITECTURE HANDBOOK</w:t>
      </w:r>
    </w:p>
    <w:p>
      <w:pPr>
        <w:pStyle w:val="Title"/>
      </w:pPr>
      <w:r>
        <w:t xml:space="preserve">The Trading</w:t>
      </w:r>
      <w:r>
        <w:br/>
        <w:t xml:space="preserve">Ecosystem</w:t>
      </w:r>
    </w:p>
    <w:p>
      <w:pPr>
        <w:pStyle w:val="Lead"/>
      </w:pPr>
      <w:r>
        <w:t xml:space="preserve">From discovery to evidence, authority, execution and reevaluation</w:t>
      </w:r>
    </w:p>
    <w:p>
      <w:pPr>
        <w:jc w:val="center"/>
        <w:keepNext/>
      </w:pPr>
      <w:r>
        <w:drawing>
          <wp:inline distT="0" distB="0" distL="0" distR="0">
            <wp:extent cx="6327648" cy="2759557"/>
            <wp:docPr id="1" name="Figure 1" descr="Six owner-labelled cards: Scanner proposes, TI advises, TI Monitoring reevaluates, TM authorizes, Broker executes, clients expose."/>
            <a:graphic>
              <a:graphicData uri="http://schemas.openxmlformats.org/drawingml/2006/picture">
                <pic:pic>
                  <pic:nvPicPr>
                    <pic:cNvPr id="0" name="cover.png" descr="Six owner-labelled cards: Scanner proposes, TI advises, TI Monitoring reevaluates, TM authorizes, Broker executes, clients expose."/>
                    <pic:cNvPicPr/>
                  </pic:nvPicPr>
                  <pic:blipFill>
                    <a:blip r:embed="rIdImg1"/>
                    <a:stretch>
                      <a:fillRect/>
                    </a:stretch>
                  </pic:blipFill>
                  <pic:spPr>
                    <a:xfrm>
                      <a:off x="0" y="0"/>
                      <a:ext cx="6327648" cy="2759557"/>
                    </a:xfrm>
                    <a:prstGeom prst="rect">
                      <a:avLst/>
                    </a:prstGeom>
                  </pic:spPr>
                </pic:pic>
              </a:graphicData>
            </a:graphic>
          </wp:inline>
        </w:drawing>
      </w:r>
    </w:p>
    <w:p>
      <w:pPr>
        <w:pStyle w:val="Caption"/>
      </w:pPr>
      <w:r>
        <w:t xml:space="preserve">Figure 01. Six roles. One traceable workflow. No merged authority.</w:t>
      </w:r>
    </w:p>
    <w:p>
      <w:pPr>
        <w:pStyle w:val="Callout"/>
      </w:pPr>
      <w:r>
        <w:t xml:space="preserve">Scanners propose. TI advises. TI Monitoring reevaluates. TM authorizes and coordinates. Brokers execute. Human-facing clients expose and control the workflow without merging authority.</w:t>
      </w:r>
    </w:p>
    <w:p>
      <w:pPr>
        <w:pStyle w:val="Normal"/>
      </w:pPr>
      <w:r>
        <w:t xml:space="preserve">A human-readable companion to the authoritative Markdown architecture. All scenario trades, IDs, prices and charts are illustrative—not live validation, forecasts, recommendations or evidence of deployed integration.</w:t>
      </w:r>
    </w:p>
    <w:p>
      <w:pPr>
        <w:pStyle w:val="Source"/>
      </w:pPr>
      <w:r>
        <w:t xml:space="preserve">READ WITH  Architecture baseline: 12 September 2026 • Handbook: 13 September 2026 • Asia/Kolkata</w:t>
      </w:r>
    </w:p>
    <w:p>
      <w:pPr>
        <w:pStyle w:val="Eyebrow"/>
        <w:pageBreakBefore/>
      </w:pPr>
      <w:r>
        <w:t xml:space="preserve">ORIENTATION  /  READING GUIDE</w:t>
      </w:r>
    </w:p>
    <w:p>
      <w:pPr>
        <w:pStyle w:val="Heading1"/>
      </w:pPr>
      <w:r>
        <w:t xml:space="preserve">What this handbook promises</w:t>
      </w:r>
    </w:p>
    <w:p>
      <w:pPr>
        <w:pStyle w:val="Normal"/>
      </w:pPr>
      <w:r>
        <w:t xml:space="preserve">This handbook teaches how an idea can become an accountable operational position without turning every component into a trading engine. Follow the objects, not just the arrows: each handoff changes who may decide, which evidence is required and what must be preserved for replay.</w:t>
      </w:r>
    </w:p>
    <w:p>
      <w:pPr>
        <w:jc w:val="center"/>
        <w:keepNext/>
      </w:pPr>
      <w:r>
        <w:drawing>
          <wp:inline distT="0" distB="0" distL="0" distR="0">
            <wp:extent cx="6327648" cy="2074062"/>
            <wp:docPr id="2" name="Figure 2" descr="Status legend distinguishing current implementation, accepted design, planned future work and research/TBD."/>
            <a:graphic>
              <a:graphicData uri="http://schemas.openxmlformats.org/drawingml/2006/picture">
                <pic:pic>
                  <pic:nvPicPr>
                    <pic:cNvPr id="0" name="legend.png" descr="Status legend distinguishing current implementation, accepted design, planned future work and research/TBD."/>
                    <pic:cNvPicPr/>
                  </pic:nvPicPr>
                  <pic:blipFill>
                    <a:blip r:embed="rIdImg2"/>
                    <a:stretch>
                      <a:fillRect/>
                    </a:stretch>
                  </pic:blipFill>
                  <pic:spPr>
                    <a:xfrm>
                      <a:off x="0" y="0"/>
                      <a:ext cx="6327648" cy="2074062"/>
                    </a:xfrm>
                    <a:prstGeom prst="rect">
                      <a:avLst/>
                    </a:prstGeom>
                  </pic:spPr>
                </pic:pic>
              </a:graphicData>
            </a:graphic>
          </wp:inline>
        </w:drawing>
      </w:r>
    </w:p>
    <w:p>
      <w:pPr>
        <w:pStyle w:val="Caption"/>
      </w:pPr>
      <w:r>
        <w:t xml:space="preserve">Figure 02. Read status words as well as owner colours.</w:t>
      </w:r>
    </w:p>
    <w:p>
      <w:pPr>
        <w:pStyle w:val="Heading2"/>
      </w:pPr>
      <w:r>
        <w:t xml:space="preserve">Implementation truth</w:t>
      </w:r>
    </w:p>
    <w:p>
      <w:pPr>
        <w:pStyle w:val="Normal"/>
      </w:pPr>
      <w:r>
        <w:t xml:space="preserve">A1–A4 are frozen. A5.1/A5.2 and pluggability R1 are accepted; A5 freeze/tag readiness remains a separate gate. Public TI operations are local PURE/CAPTURED_READ capabilities. Replaying an input is not a fresh live evaluation. This thesis does not certify another TM repository or broker implementation.</w:t>
      </w:r>
    </w:p>
    <w:p>
      <w:pPr>
        <w:pStyle w:val="Callout"/>
      </w:pPr>
      <w:r>
        <w:t xml:space="preserve">A supportive thesis is not execution authority. Absence of required intelligence cannot silently become permission.</w:t>
      </w:r>
    </w:p>
    <w:p>
      <w:pPr>
        <w:pStyle w:val="Source"/>
      </w:pPr>
      <w:r>
        <w:t xml:space="preserve">READ WITH  TIAF_TRADING_ECOSYSTEM_ARCHITECTURE.md §1; TIAF_CAPABILITY_MAP.md</w:t>
      </w:r>
    </w:p>
    <w:p>
      <w:pPr>
        <w:pStyle w:val="Eyebrow"/>
        <w:pageBreakBefore/>
      </w:pPr>
      <w:r>
        <w:t xml:space="preserve">ORIENTATION  /  REFERENCE MAP</w:t>
      </w:r>
    </w:p>
    <w:p>
      <w:pPr>
        <w:pStyle w:val="Heading1"/>
      </w:pPr>
      <w:r>
        <w:t xml:space="preserve">Contents &amp; reading routes</w:t>
      </w:r>
    </w:p>
    <w:p>
      <w:pPr>
        <w:pStyle w:val="Normal"/>
      </w:pPr>
      <w:r>
        <w:t xml:space="preserve">Four chapters move from the mental model to safe handoffs, operator surfaces and concrete scenarios. Each teaching spread can also be read independently; owner labels and status labels travel with the visual.</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800"/>
        <w:gridCol w:w="2500"/>
        <w:gridCol w:w="6734"/>
      </w:tblGrid>
      <w:tr>
        <w:trPr>
          <w:cantSplit/>
          <w:tblHeader/>
        </w:trPr>
        <w:tc>
          <w:tcPr>
            <w:tcW w:w="800" w:type="dxa"/>
            <w:shd w:fill="17324D"/>
          </w:tcPr>
          <w:p>
            <w:pPr>
              <w:pStyle w:val="TableHead"/>
            </w:pPr>
            <w:r>
              <w:t xml:space="preserve">Page</w:t>
            </w:r>
          </w:p>
        </w:tc>
        <w:tc>
          <w:tcPr>
            <w:tcW w:w="2500" w:type="dxa"/>
            <w:shd w:fill="17324D"/>
          </w:tcPr>
          <w:p>
            <w:pPr>
              <w:pStyle w:val="TableHead"/>
            </w:pPr>
            <w:r>
              <w:t xml:space="preserve">Chapter / reference</w:t>
            </w:r>
          </w:p>
        </w:tc>
        <w:tc>
          <w:tcPr>
            <w:tcW w:w="6734" w:type="dxa"/>
            <w:shd w:fill="17324D"/>
          </w:tcPr>
          <w:p>
            <w:pPr>
              <w:pStyle w:val="TableHead"/>
            </w:pPr>
            <w:r>
              <w:t xml:space="preserve">Focus</w:t>
            </w:r>
          </w:p>
        </w:tc>
      </w:tr>
      <w:tr>
        <w:trPr>
          <w:cantSplit/>
        </w:trPr>
        <w:tc>
          <w:tcPr>
            <w:tcW w:w="800" w:type="dxa"/>
            <w:shd w:fill="F0F5F7"/>
          </w:tcPr>
          <w:p>
            <w:pPr>
              <w:pStyle w:val="TableText"/>
            </w:pPr>
            <w:r>
              <w:t xml:space="preserve">4</w:t>
            </w:r>
          </w:p>
        </w:tc>
        <w:tc>
          <w:tcPr>
            <w:tcW w:w="2500" w:type="dxa"/>
            <w:shd w:fill="F0F5F7"/>
          </w:tcPr>
          <w:p>
            <w:pPr>
              <w:pStyle w:val="TableText"/>
            </w:pPr>
            <w:r>
              <w:t xml:space="preserve">Chapter I</w:t>
            </w:r>
          </w:p>
        </w:tc>
        <w:tc>
          <w:tcPr>
            <w:tcW w:w="6734" w:type="dxa"/>
            <w:shd w:fill="F0F5F7"/>
          </w:tcPr>
          <w:p>
            <w:pPr>
              <w:pStyle w:val="TableText"/>
            </w:pPr>
            <w:r>
              <w:t xml:space="preserve">A map of responsibility</w:t>
            </w:r>
          </w:p>
        </w:tc>
      </w:tr>
      <w:tr>
        <w:trPr>
          <w:cantSplit/>
        </w:trPr>
        <w:tc>
          <w:tcPr>
            <w:tcW w:w="800" w:type="dxa"/>
            <w:shd w:fill="FFFFFF"/>
          </w:tcPr>
          <w:p>
            <w:pPr>
              <w:pStyle w:val="TableText"/>
            </w:pPr>
            <w:r>
              <w:t xml:space="preserve">16</w:t>
            </w:r>
          </w:p>
        </w:tc>
        <w:tc>
          <w:tcPr>
            <w:tcW w:w="2500" w:type="dxa"/>
            <w:shd w:fill="FFFFFF"/>
          </w:tcPr>
          <w:p>
            <w:pPr>
              <w:pStyle w:val="TableText"/>
            </w:pPr>
            <w:r>
              <w:t xml:space="preserve">Chapter II</w:t>
            </w:r>
          </w:p>
        </w:tc>
        <w:tc>
          <w:tcPr>
            <w:tcW w:w="6734" w:type="dxa"/>
            <w:shd w:fill="FFFFFF"/>
          </w:tcPr>
          <w:p>
            <w:pPr>
              <w:pStyle w:val="TableText"/>
            </w:pPr>
            <w:r>
              <w:t xml:space="preserve">Handoffs that preserve authority</w:t>
            </w:r>
          </w:p>
        </w:tc>
      </w:tr>
      <w:tr>
        <w:trPr>
          <w:cantSplit/>
        </w:trPr>
        <w:tc>
          <w:tcPr>
            <w:tcW w:w="800" w:type="dxa"/>
            <w:shd w:fill="F0F5F7"/>
          </w:tcPr>
          <w:p>
            <w:pPr>
              <w:pStyle w:val="TableText"/>
            </w:pPr>
            <w:r>
              <w:t xml:space="preserve">26</w:t>
            </w:r>
          </w:p>
        </w:tc>
        <w:tc>
          <w:tcPr>
            <w:tcW w:w="2500" w:type="dxa"/>
            <w:shd w:fill="F0F5F7"/>
          </w:tcPr>
          <w:p>
            <w:pPr>
              <w:pStyle w:val="TableText"/>
            </w:pPr>
            <w:r>
              <w:t xml:space="preserve">Chapter III</w:t>
            </w:r>
          </w:p>
        </w:tc>
        <w:tc>
          <w:tcPr>
            <w:tcW w:w="6734" w:type="dxa"/>
            <w:shd w:fill="F0F5F7"/>
          </w:tcPr>
          <w:p>
            <w:pPr>
              <w:pStyle w:val="TableText"/>
            </w:pPr>
            <w:r>
              <w:t xml:space="preserve">Surfaces, observability and resilience</w:t>
            </w:r>
          </w:p>
        </w:tc>
      </w:tr>
      <w:tr>
        <w:trPr>
          <w:cantSplit/>
        </w:trPr>
        <w:tc>
          <w:tcPr>
            <w:tcW w:w="800" w:type="dxa"/>
            <w:shd w:fill="FFFFFF"/>
          </w:tcPr>
          <w:p>
            <w:pPr>
              <w:pStyle w:val="TableText"/>
            </w:pPr>
            <w:r>
              <w:t xml:space="preserve">36</w:t>
            </w:r>
          </w:p>
        </w:tc>
        <w:tc>
          <w:tcPr>
            <w:tcW w:w="2500" w:type="dxa"/>
            <w:shd w:fill="FFFFFF"/>
          </w:tcPr>
          <w:p>
            <w:pPr>
              <w:pStyle w:val="TableText"/>
            </w:pPr>
            <w:r>
              <w:t xml:space="preserve">Chapter IV</w:t>
            </w:r>
          </w:p>
        </w:tc>
        <w:tc>
          <w:tcPr>
            <w:tcW w:w="6734" w:type="dxa"/>
            <w:shd w:fill="FFFFFF"/>
          </w:tcPr>
          <w:p>
            <w:pPr>
              <w:pStyle w:val="TableText"/>
            </w:pPr>
            <w:r>
              <w:t xml:space="preserve">Follow the objects through a day</w:t>
            </w:r>
          </w:p>
        </w:tc>
      </w:tr>
      <w:tr>
        <w:trPr>
          <w:cantSplit/>
        </w:trPr>
        <w:tc>
          <w:tcPr>
            <w:tcW w:w="800" w:type="dxa"/>
            <w:shd w:fill="F0F5F7"/>
          </w:tcPr>
          <w:p>
            <w:pPr>
              <w:pStyle w:val="TableText"/>
            </w:pPr>
            <w:r>
              <w:t xml:space="preserve">46</w:t>
            </w:r>
          </w:p>
        </w:tc>
        <w:tc>
          <w:tcPr>
            <w:tcW w:w="2500" w:type="dxa"/>
            <w:shd w:fill="F0F5F7"/>
          </w:tcPr>
          <w:p>
            <w:pPr>
              <w:pStyle w:val="TableText"/>
            </w:pPr>
            <w:r>
              <w:t xml:space="preserve">Reference</w:t>
            </w:r>
          </w:p>
        </w:tc>
        <w:tc>
          <w:tcPr>
            <w:tcW w:w="6734" w:type="dxa"/>
            <w:shd w:fill="F0F5F7"/>
          </w:tcPr>
          <w:p>
            <w:pPr>
              <w:pStyle w:val="TableText"/>
            </w:pPr>
            <w:r>
              <w:t xml:space="preserve">Boundaries to carry into implementation</w:t>
            </w:r>
          </w:p>
        </w:tc>
      </w:tr>
      <w:tr>
        <w:trPr>
          <w:cantSplit/>
        </w:trPr>
        <w:tc>
          <w:tcPr>
            <w:tcW w:w="800" w:type="dxa"/>
            <w:shd w:fill="FFFFFF"/>
          </w:tcPr>
          <w:p>
            <w:pPr>
              <w:pStyle w:val="TableText"/>
            </w:pPr>
            <w:r>
              <w:t xml:space="preserve">47</w:t>
            </w:r>
          </w:p>
        </w:tc>
        <w:tc>
          <w:tcPr>
            <w:tcW w:w="2500" w:type="dxa"/>
            <w:shd w:fill="FFFFFF"/>
          </w:tcPr>
          <w:p>
            <w:pPr>
              <w:pStyle w:val="TableText"/>
            </w:pPr>
            <w:r>
              <w:t xml:space="preserve">Reference</w:t>
            </w:r>
          </w:p>
        </w:tc>
        <w:tc>
          <w:tcPr>
            <w:tcW w:w="6734" w:type="dxa"/>
            <w:shd w:fill="FFFFFF"/>
          </w:tcPr>
          <w:p>
            <w:pPr>
              <w:pStyle w:val="TableText"/>
            </w:pPr>
            <w:r>
              <w:t xml:space="preserve">Source map &amp; compact glossary</w:t>
            </w:r>
          </w:p>
        </w:tc>
      </w:tr>
    </w:tbl>
    <w:p>
      <w:pPr>
        <w:pStyle w:val="Spacer"/>
      </w:pPr>
      <w:r>
        <w:t xml:space="preserve"/>
      </w:r>
    </w:p>
    <w:p>
      <w:pPr>
        <w:pStyle w:val="Heading2"/>
      </w:pPr>
      <w:r>
        <w:t xml:space="preserve">Choose a route</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2500"/>
        <w:gridCol w:w="3700"/>
        <w:gridCol w:w="3834"/>
      </w:tblGrid>
      <w:tr>
        <w:trPr>
          <w:cantSplit/>
          <w:tblHeader/>
        </w:trPr>
        <w:tc>
          <w:tcPr>
            <w:tcW w:w="2500" w:type="dxa"/>
            <w:shd w:fill="17324D"/>
          </w:tcPr>
          <w:p>
            <w:pPr>
              <w:pStyle w:val="TableHead"/>
            </w:pPr>
            <w:r>
              <w:t xml:space="preserve">Reader</w:t>
            </w:r>
          </w:p>
        </w:tc>
        <w:tc>
          <w:tcPr>
            <w:tcW w:w="3700" w:type="dxa"/>
            <w:shd w:fill="17324D"/>
          </w:tcPr>
          <w:p>
            <w:pPr>
              <w:pStyle w:val="TableHead"/>
            </w:pPr>
            <w:r>
              <w:t xml:space="preserve">Start here</w:t>
            </w:r>
          </w:p>
        </w:tc>
        <w:tc>
          <w:tcPr>
            <w:tcW w:w="3834" w:type="dxa"/>
            <w:shd w:fill="17324D"/>
          </w:tcPr>
          <w:p>
            <w:pPr>
              <w:pStyle w:val="TableHead"/>
            </w:pPr>
            <w:r>
              <w:t xml:space="preserve">Then inspect</w:t>
            </w:r>
          </w:p>
        </w:tc>
      </w:tr>
      <w:tr>
        <w:trPr>
          <w:cantSplit/>
        </w:trPr>
        <w:tc>
          <w:tcPr>
            <w:tcW w:w="2500" w:type="dxa"/>
            <w:shd w:fill="F0F5F7"/>
          </w:tcPr>
          <w:p>
            <w:pPr>
              <w:pStyle w:val="TableText"/>
            </w:pPr>
            <w:r>
              <w:t xml:space="preserve">New to the ecosystem</w:t>
            </w:r>
          </w:p>
        </w:tc>
        <w:tc>
          <w:tcPr>
            <w:tcW w:w="3700" w:type="dxa"/>
            <w:shd w:fill="F0F5F7"/>
          </w:tcPr>
          <w:p>
            <w:pPr>
              <w:pStyle w:val="TableText"/>
            </w:pPr>
            <w:r>
              <w:t xml:space="preserve">Chapter I: map, planes and state</w:t>
            </w:r>
          </w:p>
        </w:tc>
        <w:tc>
          <w:tcPr>
            <w:tcW w:w="3834" w:type="dxa"/>
            <w:shd w:fill="F0F5F7"/>
          </w:tcPr>
          <w:p>
            <w:pPr>
              <w:pStyle w:val="TableText"/>
            </w:pPr>
            <w:r>
              <w:t xml:space="preserve">Chapter IV: KAYNES and outage examples</w:t>
            </w:r>
          </w:p>
        </w:tc>
      </w:tr>
      <w:tr>
        <w:trPr>
          <w:cantSplit/>
        </w:trPr>
        <w:tc>
          <w:tcPr>
            <w:tcW w:w="2500" w:type="dxa"/>
            <w:shd w:fill="FFFFFF"/>
          </w:tcPr>
          <w:p>
            <w:pPr>
              <w:pStyle w:val="TableText"/>
            </w:pPr>
            <w:r>
              <w:t xml:space="preserve">Operator / product designer</w:t>
            </w:r>
          </w:p>
        </w:tc>
        <w:tc>
          <w:tcPr>
            <w:tcW w:w="3700" w:type="dxa"/>
            <w:shd w:fill="FFFFFF"/>
          </w:tcPr>
          <w:p>
            <w:pPr>
              <w:pStyle w:val="TableText"/>
            </w:pPr>
            <w:r>
              <w:t xml:space="preserve">Chapter III: tables and cockpit</w:t>
            </w:r>
          </w:p>
        </w:tc>
        <w:tc>
          <w:tcPr>
            <w:tcW w:w="3834" w:type="dxa"/>
            <w:shd w:fill="FFFFFF"/>
          </w:tcPr>
          <w:p>
            <w:pPr>
              <w:pStyle w:val="TableText"/>
            </w:pPr>
            <w:r>
              <w:t xml:space="preserve">Chapter II: authority and unknown outcomes</w:t>
            </w:r>
          </w:p>
        </w:tc>
      </w:tr>
      <w:tr>
        <w:trPr>
          <w:cantSplit/>
        </w:trPr>
        <w:tc>
          <w:tcPr>
            <w:tcW w:w="2500" w:type="dxa"/>
            <w:shd w:fill="F0F5F7"/>
          </w:tcPr>
          <w:p>
            <w:pPr>
              <w:pStyle w:val="TableText"/>
            </w:pPr>
            <w:r>
              <w:t xml:space="preserve">Implementer / reviewer</w:t>
            </w:r>
          </w:p>
        </w:tc>
        <w:tc>
          <w:tcPr>
            <w:tcW w:w="3700" w:type="dxa"/>
            <w:shd w:fill="F0F5F7"/>
          </w:tcPr>
          <w:p>
            <w:pPr>
              <w:pStyle w:val="TableText"/>
            </w:pPr>
            <w:r>
              <w:t xml:space="preserve">Chapter I: object ownership</w:t>
            </w:r>
          </w:p>
        </w:tc>
        <w:tc>
          <w:tcPr>
            <w:tcW w:w="3834" w:type="dxa"/>
            <w:shd w:fill="F0F5F7"/>
          </w:tcPr>
          <w:p>
            <w:pPr>
              <w:pStyle w:val="TableText"/>
            </w:pPr>
            <w:r>
              <w:t xml:space="preserve">Chapter II: admission; audit; pluggability</w:t>
            </w:r>
          </w:p>
        </w:tc>
      </w:tr>
      <w:tr>
        <w:trPr>
          <w:cantSplit/>
        </w:trPr>
        <w:tc>
          <w:tcPr>
            <w:tcW w:w="2500" w:type="dxa"/>
            <w:shd w:fill="FFFFFF"/>
          </w:tcPr>
          <w:p>
            <w:pPr>
              <w:pStyle w:val="TableText"/>
            </w:pPr>
            <w:r>
              <w:t xml:space="preserve">Architecture maintainer</w:t>
            </w:r>
          </w:p>
        </w:tc>
        <w:tc>
          <w:tcPr>
            <w:tcW w:w="3700" w:type="dxa"/>
            <w:shd w:fill="FFFFFF"/>
          </w:tcPr>
          <w:p>
            <w:pPr>
              <w:pStyle w:val="TableText"/>
            </w:pPr>
            <w:r>
              <w:t xml:space="preserve">Chapter IV: evolution and boundaries</w:t>
            </w:r>
          </w:p>
        </w:tc>
        <w:tc>
          <w:tcPr>
            <w:tcW w:w="3834" w:type="dxa"/>
            <w:shd w:fill="FFFFFF"/>
          </w:tcPr>
          <w:p>
            <w:pPr>
              <w:pStyle w:val="TableText"/>
            </w:pPr>
            <w:r>
              <w:t xml:space="preserve">Source map and normative Markdown</w:t>
            </w:r>
          </w:p>
        </w:tc>
      </w:tr>
    </w:tbl>
    <w:p>
      <w:pPr>
        <w:pStyle w:val="Spacer"/>
      </w:pPr>
      <w:r>
        <w:t xml:space="preserve"/>
      </w:r>
    </w:p>
    <w:p>
      <w:pPr>
        <w:pStyle w:val="Callout"/>
      </w:pPr>
      <w:r>
        <w:t xml:space="preserve">Solid arrows show information or governed requests—not automatic permission. Mockups are future concepts. “Illustrative” labels mean constructed teaching examples, never measured performance.</w:t>
      </w:r>
    </w:p>
    <w:p>
      <w:pPr>
        <w:pStyle w:val="Normal"/>
      </w:pPr>
      <w:r>
        <w:t xml:space="preserve">The handbook uses native Word headings, searchable text, editable tables and descriptive image alt text. Wide operational tables are split into linked column groups so their meaning remains readable on a page.</w:t>
      </w:r>
    </w:p>
    <w:p>
      <w:pPr>
        <w:pStyle w:val="Eyebrow"/>
        <w:pageBreakBefore/>
      </w:pPr>
      <w:r>
        <w:t xml:space="preserve">CHAPTER I  /  CHAPTER DIVIDER</w:t>
      </w:r>
    </w:p>
    <w:p>
      <w:pPr>
        <w:pStyle w:val="Heading1"/>
      </w:pPr>
      <w:r>
        <w:t xml:space="preserve">A map of responsibility</w:t>
      </w:r>
    </w:p>
    <w:p>
      <w:pPr>
        <w:pStyle w:val="Lead"/>
      </w:pPr>
      <w:r>
        <w:t xml:space="preserve">Understand the ecosystem before following a trade.</w:t>
      </w:r>
    </w:p>
    <w:p>
      <w:pPr>
        <w:jc w:val="center"/>
        <w:keepNext/>
      </w:pPr>
      <w:r>
        <w:drawing>
          <wp:inline distT="0" distB="0" distL="0" distR="0">
            <wp:extent cx="6327648" cy="2179523"/>
            <wp:docPr id="3" name="Figure 3" descr="Chapter map: where proposals come from, why TI believes a thesis, who may authorize, and what the broker confirms."/>
            <a:graphic>
              <a:graphicData uri="http://schemas.openxmlformats.org/drawingml/2006/picture">
                <pic:pic>
                  <pic:nvPicPr>
                    <pic:cNvPr id="0" name="part1.png" descr="Chapter map: where proposals come from, why TI believes a thesis, who may authorize, and what the broker confirms."/>
                    <pic:cNvPicPr/>
                  </pic:nvPicPr>
                  <pic:blipFill>
                    <a:blip r:embed="rIdImg3"/>
                    <a:stretch>
                      <a:fillRect/>
                    </a:stretch>
                  </pic:blipFill>
                  <pic:spPr>
                    <a:xfrm>
                      <a:off x="0" y="0"/>
                      <a:ext cx="6327648" cy="2179523"/>
                    </a:xfrm>
                    <a:prstGeom prst="rect">
                      <a:avLst/>
                    </a:prstGeom>
                  </pic:spPr>
                </pic:pic>
              </a:graphicData>
            </a:graphic>
          </wp:inline>
        </w:drawing>
      </w:r>
    </w:p>
    <w:p>
      <w:pPr>
        <w:pStyle w:val="Caption"/>
      </w:pPr>
      <w:r>
        <w:t xml:space="preserve">Figure 03. The four questions behind every handoff.</w:t>
      </w:r>
    </w:p>
    <w:p>
      <w:pPr>
        <w:pStyle w:val="Callout"/>
      </w:pPr>
      <w:r>
        <w:t xml:space="preserve">Do not ask one status light to explain discovery, intelligence and execution.</w:t>
      </w:r>
    </w:p>
    <w:p>
      <w:pPr>
        <w:pStyle w:val="Normal"/>
      </w:pPr>
      <w:r>
        <w:t xml:space="preserve">A system can correctly show an active bullish discovery, TI WAIT, TM BLOCKED and no broker exposure at the same time. The architecture preserves that combination rather than forcing a single flattering label.</w:t>
      </w:r>
    </w:p>
    <w:p>
      <w:pPr>
        <w:pStyle w:val="Eyebrow"/>
        <w:pageBreakBefore/>
      </w:pPr>
      <w:r>
        <w:t xml:space="preserve">I • THE ECOSYSTEM  /  ACCEPTED DESIGN</w:t>
      </w:r>
    </w:p>
    <w:p>
      <w:pPr>
        <w:pStyle w:val="Heading1"/>
      </w:pPr>
      <w:r>
        <w:t xml:space="preserve">The full ecosystem</w:t>
      </w:r>
    </w:p>
    <w:p>
      <w:pPr>
        <w:jc w:val="center"/>
        <w:keepNext/>
      </w:pPr>
      <w:r>
        <w:drawing>
          <wp:inline distT="0" distB="0" distL="0" distR="0">
            <wp:extent cx="6327648" cy="4288739"/>
            <wp:docPr id="4" name="Figure 4" descr="Clients request scoped actions. Scanner sends candidates to TI and TM. TI supplies advice to TM. TM alone commands brokers and reconciles their truth. TI Monitoring invokes bounded TI capabilities using admitted intent and TM-supplied position context."/>
            <a:graphic>
              <a:graphicData uri="http://schemas.openxmlformats.org/drawingml/2006/picture">
                <pic:pic>
                  <pic:nvPicPr>
                    <pic:cNvPr id="0" name="ecosystem.png" descr="Clients request scoped actions. Scanner sends candidates to TI and TM. TI supplies advice to TM. TM alone commands brokers and reconciles their truth. TI Monitoring invokes bounded TI capabilities using admitted intent and TM-supplied position context."/>
                    <pic:cNvPicPr/>
                  </pic:nvPicPr>
                  <pic:blipFill>
                    <a:blip r:embed="rIdImg4"/>
                    <a:stretch>
                      <a:fillRect/>
                    </a:stretch>
                  </pic:blipFill>
                  <pic:spPr>
                    <a:xfrm>
                      <a:off x="0" y="0"/>
                      <a:ext cx="6327648" cy="4288739"/>
                    </a:xfrm>
                    <a:prstGeom prst="rect">
                      <a:avLst/>
                    </a:prstGeom>
                  </pic:spPr>
                </pic:pic>
              </a:graphicData>
            </a:graphic>
          </wp:inline>
        </w:drawing>
      </w:r>
    </w:p>
    <w:p>
      <w:pPr>
        <w:pStyle w:val="Caption"/>
      </w:pPr>
      <w:r>
        <w:t xml:space="preserve">Figure 04. The ecosystem separates discovery, advice, operations and reevaluation.</w:t>
      </w:r>
    </w:p>
    <w:p>
      <w:pPr>
        <w:pStyle w:val="Normal"/>
      </w:pPr>
      <w:r>
        <w:t xml:space="preserve">The horizontal discovery-to-action path is only one route. TI may serve a research app without TM. A manual broker position enters through explicit TM adoption. A candidate can stop at WAIT or NO_TRADE. A monitoring mandate can reevaluate an opportunity even when there is no position.</w:t>
      </w:r>
    </w:p>
    <w:p>
      <w:pPr>
        <w:pStyle w:val="Normal"/>
      </w:pPr>
      <w:r>
        <w:t xml:space="preserve">The TI side may acquire authorized factual market data through adapters. That does not grant submit/modify/cancel authority. The broker box represents external execution and observed order/fill/position truth; TM reconciles it rather than creating truth from a cached display.</w:t>
      </w:r>
    </w:p>
    <w:p>
      <w:pPr>
        <w:pStyle w:val="Source"/>
      </w:pPr>
      <w:r>
        <w:t xml:space="preserve">READ WITH  TIAF_TRADING_ECOSYSTEM_ARCHITECTURE.md §§2,5,7–8</w:t>
      </w:r>
    </w:p>
    <w:p>
      <w:pPr>
        <w:pStyle w:val="Eyebrow"/>
        <w:pageBreakBefore/>
      </w:pPr>
      <w:r>
        <w:t xml:space="preserve">I • THE ECOSYSTEM  /  ACCEPTED DESIGN</w:t>
      </w:r>
    </w:p>
    <w:p>
      <w:pPr>
        <w:pStyle w:val="Heading1"/>
      </w:pPr>
      <w:r>
        <w:t xml:space="preserve">Five planes, not five services</w:t>
      </w:r>
    </w:p>
    <w:p>
      <w:pPr>
        <w:jc w:val="center"/>
        <w:keepNext/>
      </w:pPr>
      <w:r>
        <w:drawing>
          <wp:inline distT="0" distB="0" distL="0" distR="0">
            <wp:extent cx="6327648" cy="2618943"/>
            <wp:docPr id="5" name="Figure 5" descr="Five planes: interaction, discovery, intelligence, governance/execution and TI intelligence orchestration. Each has a distinct owner and purpose."/>
            <a:graphic>
              <a:graphicData uri="http://schemas.openxmlformats.org/drawingml/2006/picture">
                <pic:pic>
                  <pic:nvPicPr>
                    <pic:cNvPr id="0" name="five-planes.png" descr="Five planes: interaction, discovery, intelligence, governance/execution and TI intelligence orchestration. Each has a distinct owner and purpose."/>
                    <pic:cNvPicPr/>
                  </pic:nvPicPr>
                  <pic:blipFill>
                    <a:blip r:embed="rIdImg5"/>
                    <a:stretch>
                      <a:fillRect/>
                    </a:stretch>
                  </pic:blipFill>
                  <pic:spPr>
                    <a:xfrm>
                      <a:off x="0" y="0"/>
                      <a:ext cx="6327648" cy="2618943"/>
                    </a:xfrm>
                    <a:prstGeom prst="rect">
                      <a:avLst/>
                    </a:prstGeom>
                  </pic:spPr>
                </pic:pic>
              </a:graphicData>
            </a:graphic>
          </wp:inline>
        </w:drawing>
      </w:r>
    </w:p>
    <w:p>
      <w:pPr>
        <w:pStyle w:val="Caption"/>
      </w:pPr>
      <w:r>
        <w:t xml:space="preserve">Figure 05. Logical separation does not prescribe a deployment topology.</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4000"/>
        <w:gridCol w:w="6034"/>
      </w:tblGrid>
      <w:tr>
        <w:trPr>
          <w:cantSplit/>
          <w:tblHeader/>
        </w:trPr>
        <w:tc>
          <w:tcPr>
            <w:tcW w:w="4000" w:type="dxa"/>
            <w:shd w:fill="17324D"/>
          </w:tcPr>
          <w:p>
            <w:pPr>
              <w:pStyle w:val="TableHead"/>
            </w:pPr>
            <w:r>
              <w:t xml:space="preserve">Cross-cutting substrate</w:t>
            </w:r>
          </w:p>
        </w:tc>
        <w:tc>
          <w:tcPr>
            <w:tcW w:w="6034" w:type="dxa"/>
            <w:shd w:fill="17324D"/>
          </w:tcPr>
          <w:p>
            <w:pPr>
              <w:pStyle w:val="TableHead"/>
            </w:pPr>
            <w:r>
              <w:t xml:space="preserve">What it preserves</w:t>
            </w:r>
          </w:p>
        </w:tc>
      </w:tr>
      <w:tr>
        <w:trPr>
          <w:cantSplit/>
        </w:trPr>
        <w:tc>
          <w:tcPr>
            <w:tcW w:w="4000" w:type="dxa"/>
            <w:shd w:fill="F0F5F7"/>
          </w:tcPr>
          <w:p>
            <w:pPr>
              <w:pStyle w:val="TableText"/>
            </w:pPr>
            <w:r>
              <w:t xml:space="preserve">Identity + authorization</w:t>
            </w:r>
          </w:p>
        </w:tc>
        <w:tc>
          <w:tcPr>
            <w:tcW w:w="6034" w:type="dxa"/>
            <w:shd w:fill="F0F5F7"/>
          </w:tcPr>
          <w:p>
            <w:pPr>
              <w:pStyle w:val="TableText"/>
            </w:pPr>
            <w:r>
              <w:t xml:space="preserve">Caller, source, tenant/account/environment, rights and grants</w:t>
            </w:r>
          </w:p>
        </w:tc>
      </w:tr>
      <w:tr>
        <w:trPr>
          <w:cantSplit/>
        </w:trPr>
        <w:tc>
          <w:tcPr>
            <w:tcW w:w="4000" w:type="dxa"/>
            <w:shd w:fill="FFFFFF"/>
          </w:tcPr>
          <w:p>
            <w:pPr>
              <w:pStyle w:val="TableText"/>
            </w:pPr>
            <w:r>
              <w:t xml:space="preserve">Evidence + provenance + replay</w:t>
            </w:r>
          </w:p>
        </w:tc>
        <w:tc>
          <w:tcPr>
            <w:tcW w:w="6034" w:type="dxa"/>
            <w:shd w:fill="FFFFFF"/>
          </w:tcPr>
          <w:p>
            <w:pPr>
              <w:pStyle w:val="TableText"/>
            </w:pPr>
            <w:r>
              <w:t xml:space="preserve">Decision-time facts, source meaning, lineage and captured inputs</w:t>
            </w:r>
          </w:p>
        </w:tc>
      </w:tr>
      <w:tr>
        <w:trPr>
          <w:cantSplit/>
        </w:trPr>
        <w:tc>
          <w:tcPr>
            <w:tcW w:w="4000" w:type="dxa"/>
            <w:shd w:fill="F0F5F7"/>
          </w:tcPr>
          <w:p>
            <w:pPr>
              <w:pStyle w:val="TableText"/>
            </w:pPr>
            <w:r>
              <w:t xml:space="preserve">Configuration + pluggability</w:t>
            </w:r>
          </w:p>
        </w:tc>
        <w:tc>
          <w:tcPr>
            <w:tcW w:w="6034" w:type="dxa"/>
            <w:shd w:fill="F0F5F7"/>
          </w:tcPr>
          <w:p>
            <w:pPr>
              <w:pStyle w:val="TableText"/>
            </w:pPr>
            <w:r>
              <w:t xml:space="preserve">Exact policy/capability bindings; explicit required absence</w:t>
            </w:r>
          </w:p>
        </w:tc>
      </w:tr>
      <w:tr>
        <w:trPr>
          <w:cantSplit/>
        </w:trPr>
        <w:tc>
          <w:tcPr>
            <w:tcW w:w="4000" w:type="dxa"/>
            <w:shd w:fill="FFFFFF"/>
          </w:tcPr>
          <w:p>
            <w:pPr>
              <w:pStyle w:val="TableText"/>
            </w:pPr>
            <w:r>
              <w:t xml:space="preserve">Budgets + audit</w:t>
            </w:r>
          </w:p>
        </w:tc>
        <w:tc>
          <w:tcPr>
            <w:tcW w:w="6034" w:type="dxa"/>
            <w:shd w:fill="FFFFFF"/>
          </w:tcPr>
          <w:p>
            <w:pPr>
              <w:pStyle w:val="TableText"/>
            </w:pPr>
            <w:r>
              <w:t xml:space="preserve">Bounded work, attempts, unknown usage, traceable decisions</w:t>
            </w:r>
          </w:p>
        </w:tc>
      </w:tr>
    </w:tbl>
    <w:p>
      <w:pPr>
        <w:pStyle w:val="Spacer"/>
      </w:pPr>
      <w:r>
        <w:t xml:space="preserve"/>
      </w:r>
    </w:p>
    <w:p>
      <w:pPr>
        <w:pStyle w:val="Normal"/>
      </w:pPr>
      <w:r>
        <w:t xml:space="preserve">One local process may implement several logical planes behind explicit contracts. A future remote deployment adds authentication, persistence and operational guarantees; it does not dissolve the same boundaries. TM operational monitoring belongs in governance/execution, not inside TI Monitoring.</w:t>
      </w:r>
    </w:p>
    <w:p>
      <w:pPr>
        <w:pStyle w:val="Source"/>
      </w:pPr>
      <w:r>
        <w:t xml:space="preserve">READ WITH  Ecosystem §2; TIAF_DEPLOYMENT_ARCHITECTURE.md</w:t>
      </w:r>
    </w:p>
    <w:p>
      <w:pPr>
        <w:pStyle w:val="Eyebrow"/>
        <w:pageBreakBefore/>
      </w:pPr>
      <w:r>
        <w:t xml:space="preserve">I • THE ECOSYSTEM  /  ACCEPTED DESIGN</w:t>
      </w:r>
    </w:p>
    <w:p>
      <w:pPr>
        <w:pStyle w:val="Heading1"/>
      </w:pPr>
      <w:r>
        <w:t xml:space="preserve">Three kinds of monitoring</w:t>
      </w:r>
    </w:p>
    <w:p>
      <w:pPr>
        <w:jc w:val="center"/>
        <w:keepNext/>
      </w:pPr>
      <w:r>
        <w:drawing>
          <wp:inline distT="0" distB="0" distL="0" distR="0">
            <wp:extent cx="6327648" cy="2443175"/>
            <wp:docPr id="6" name="Figure 6" descr="Three stacked owner cards distinguish scanner discovery refresh, TI assessment reevaluation and TM exposure/authority monitoring."/>
            <a:graphic>
              <a:graphicData uri="http://schemas.openxmlformats.org/drawingml/2006/picture">
                <pic:pic>
                  <pic:nvPicPr>
                    <pic:cNvPr id="0" name="monitoring-owners.png" descr="Three stacked owner cards distinguish scanner discovery refresh, TI assessment reevaluation and TM exposure/authority monitoring."/>
                    <pic:cNvPicPr/>
                  </pic:nvPicPr>
                  <pic:blipFill>
                    <a:blip r:embed="rIdImg6"/>
                    <a:stretch>
                      <a:fillRect/>
                    </a:stretch>
                  </pic:blipFill>
                  <pic:spPr>
                    <a:xfrm>
                      <a:off x="0" y="0"/>
                      <a:ext cx="6327648" cy="2443175"/>
                    </a:xfrm>
                    <a:prstGeom prst="rect">
                      <a:avLst/>
                    </a:prstGeom>
                  </pic:spPr>
                </pic:pic>
              </a:graphicData>
            </a:graphic>
          </wp:inline>
        </w:drawing>
      </w:r>
    </w:p>
    <w:p>
      <w:pPr>
        <w:pStyle w:val="Caption"/>
      </w:pPr>
      <w:r>
        <w:t xml:space="preserve">Figure 06. Similar clocks do not imply the same responsibility.</w:t>
      </w:r>
    </w:p>
    <w:p>
      <w:pPr>
        <w:pStyle w:val="Normal"/>
      </w:pPr>
      <w:r>
        <w:t xml:space="preserve">A scanner refresh can create, revise or expire candidates. A TI run can revise an explanation without creating any order. TM must still reconcile fills and exposure if the scanner or TI is unavailable. Operational continuity is bounded by available broker truth and existing authority—not a guarantee that every protective action will succeed.</w:t>
      </w:r>
    </w:p>
    <w:p>
      <w:pPr>
        <w:pStyle w:val="Callout"/>
      </w:pPr>
      <w:r>
        <w:t xml:space="preserve">Watchlist is organization; mandate is semantics. Monitoring is intelligence orchestration, not execution.</w:t>
      </w:r>
    </w:p>
    <w:p>
      <w:pPr>
        <w:pStyle w:val="Normal"/>
      </w:pPr>
      <w:r>
        <w:t xml:space="preserve">Current A5 WatchMandate/MonitoringNeed outputs are advisory intent. They do not create a scheduled job. The recurring TI Monitoring Runtime and its admission/budget/lifecycle guarantees remain future implementation work.</w:t>
      </w:r>
    </w:p>
    <w:p>
      <w:pPr>
        <w:pStyle w:val="Source"/>
      </w:pPr>
      <w:r>
        <w:t xml:space="preserve">READ WITH  Ecosystem §8; TIAF_MONITORING_ARCHITECTURE.md §§1–8</w:t>
      </w:r>
    </w:p>
    <w:p>
      <w:pPr>
        <w:pStyle w:val="Eyebrow"/>
        <w:pageBreakBefore/>
      </w:pPr>
      <w:r>
        <w:t xml:space="preserve">I • THE ECOSYSTEM  /  CURRENT + FUTURE</w:t>
      </w:r>
    </w:p>
    <w:p>
      <w:pPr>
        <w:pStyle w:val="Heading1"/>
      </w:pPr>
      <w:r>
        <w:t xml:space="preserve">The TI intelligence hierarchy</w:t>
      </w:r>
    </w:p>
    <w:p>
      <w:pPr>
        <w:jc w:val="center"/>
        <w:keepNext/>
      </w:pPr>
      <w:r>
        <w:drawing>
          <wp:inline distT="0" distB="0" distL="0" distR="0">
            <wp:extent cx="6327648" cy="2882595"/>
            <wp:docPr id="7" name="Figure 7" descr="Current A1 through A5 roles followed by future A6 expression and A7 forecasting/evaluation. A2 remains the deterministic benchmark."/>
            <a:graphic>
              <a:graphicData uri="http://schemas.openxmlformats.org/drawingml/2006/picture">
                <pic:pic>
                  <pic:nvPicPr>
                    <pic:cNvPr id="0" name="hierarchy.png" descr="Current A1 through A5 roles followed by future A6 expression and A7 forecasting/evaluation. A2 remains the deterministic benchmark."/>
                    <pic:cNvPicPr/>
                  </pic:nvPicPr>
                  <pic:blipFill>
                    <a:blip r:embed="rIdImg7"/>
                    <a:stretch>
                      <a:fillRect/>
                    </a:stretch>
                  </pic:blipFill>
                  <pic:spPr>
                    <a:xfrm>
                      <a:off x="0" y="0"/>
                      <a:ext cx="6327648" cy="2882595"/>
                    </a:xfrm>
                    <a:prstGeom prst="rect">
                      <a:avLst/>
                    </a:prstGeom>
                  </pic:spPr>
                </pic:pic>
              </a:graphicData>
            </a:graphic>
          </wp:inline>
        </w:drawing>
      </w:r>
    </w:p>
    <w:p>
      <w:pPr>
        <w:pStyle w:val="Caption"/>
      </w:pPr>
      <w:r>
        <w:t xml:space="preserve">Figure 07. Capability roles, not a compulsory run of every layer for every request.</w:t>
      </w:r>
    </w:p>
    <w:p>
      <w:pPr>
        <w:pStyle w:val="Normal"/>
      </w:pPr>
      <w:r>
        <w:t xml:space="preserve">A3/A4 enrichment does not rewrite the accepted A2 record. The baseline remains an independently replayable comparison point. A5 interprets a single supplied open equity, future, call or put position; multi-leg shapes remain unsupported. Missing thesis or stale operational truth must not become a reassuring default recommendation.</w:t>
      </w:r>
    </w:p>
    <w:p>
      <w:pPr>
        <w:pStyle w:val="Source"/>
      </w:pPr>
      <w:r>
        <w:t xml:space="preserve">READ WITH  TIAF_CAPABILITY_MAP.md; A4/A5 architecture; TI_Intelligence_Hierarchy_Thesis.docx</w:t>
      </w:r>
    </w:p>
    <w:p>
      <w:pPr>
        <w:pStyle w:val="Eyebrow"/>
        <w:pageBreakBefore/>
      </w:pPr>
      <w:r>
        <w:t xml:space="preserve">I • DISCOVERY  /  ACCEPTED DESIGN</w:t>
      </w:r>
    </w:p>
    <w:p>
      <w:pPr>
        <w:pStyle w:val="Heading1"/>
      </w:pPr>
      <w:r>
        <w:t xml:space="preserve">Basic scanner vs TI-enriched scanner</w:t>
      </w:r>
    </w:p>
    <w:p>
      <w:pPr>
        <w:jc w:val="center"/>
        <w:keepNext/>
      </w:pPr>
      <w:r>
        <w:drawing>
          <wp:inline distT="0" distB="0" distL="0" distR="0">
            <wp:extent cx="6327648" cy="2249830"/>
            <wp:docPr id="8" name="Figure 8" descr="Basic and enriched scanners share the same non-executable candidate boundary. Only the enriched path requests a separate TI assessment."/>
            <a:graphic>
              <a:graphicData uri="http://schemas.openxmlformats.org/drawingml/2006/picture">
                <pic:pic>
                  <pic:nvPicPr>
                    <pic:cNvPr id="0" name="scanner-modes.png" descr="Basic and enriched scanners share the same non-executable candidate boundary. Only the enriched path requests a separate TI assessment."/>
                    <pic:cNvPicPr/>
                  </pic:nvPicPr>
                  <pic:blipFill>
                    <a:blip r:embed="rIdImg8"/>
                    <a:stretch>
                      <a:fillRect/>
                    </a:stretch>
                  </pic:blipFill>
                  <pic:spPr>
                    <a:xfrm>
                      <a:off x="0" y="0"/>
                      <a:ext cx="6327648" cy="2249830"/>
                    </a:xfrm>
                    <a:prstGeom prst="rect">
                      <a:avLst/>
                    </a:prstGeom>
                  </pic:spPr>
                </pic:pic>
              </a:graphicData>
            </a:graphic>
          </wp:inline>
        </w:drawing>
      </w:r>
    </w:p>
    <w:p>
      <w:pPr>
        <w:pStyle w:val="Caption"/>
      </w:pPr>
      <w:r>
        <w:t xml:space="preserve">Figure 08. Enrichment adds a linked explanation, not a new source of authority.</w:t>
      </w:r>
    </w:p>
    <w:p>
      <w:pPr>
        <w:pStyle w:val="Normal"/>
      </w:pPr>
      <w:r>
        <w:t xml:space="preserve">TradingView, Chartink, Python, manual and future ML scanners can sit behind one candidate-source interface. A TI-native scanner is also a consumer application; it does not acquire extra Core privileges. Cheap screening followed by selective bounded enrichment avoids requiring deep research across an entire universe.</w:t>
      </w:r>
    </w:p>
    <w:p>
      <w:pPr>
        <w:pStyle w:val="Normal"/>
      </w:pPr>
      <w:r>
        <w:t xml:space="preserve">The subscriber owns watchlist membership and optional group labels. A candidate records the relevant group revision rather than consulting today’s watchlist during replay. Discovery refresh and candidate expiry remain source responsibilities; neither implies an admitted recurring TI mandate.</w:t>
      </w:r>
    </w:p>
    <w:p>
      <w:pPr>
        <w:pStyle w:val="Source"/>
      </w:pPr>
      <w:r>
        <w:t xml:space="preserve">READ WITH  Ecosystem §3</w:t>
      </w:r>
    </w:p>
    <w:p>
      <w:pPr>
        <w:pStyle w:val="Eyebrow"/>
        <w:pageBreakBefore/>
      </w:pPr>
      <w:r>
        <w:t xml:space="preserve">I • DISCOVERY  /  ACCEPTED DESIGN</w:t>
      </w:r>
    </w:p>
    <w:p>
      <w:pPr>
        <w:pStyle w:val="Heading1"/>
      </w:pPr>
      <w:r>
        <w:t xml:space="preserve">Candidate: a versioned question</w:t>
      </w:r>
    </w:p>
    <w:p>
      <w:pPr>
        <w:jc w:val="center"/>
        <w:keepNext/>
      </w:pPr>
      <w:r>
        <w:drawing>
          <wp:inline distT="0" distB="0" distL="0" distR="0">
            <wp:extent cx="6327648" cy="2425598"/>
            <wp:docPr id="9" name="Figure 9" descr="Candidate example has source-namespaced immutable revision, canonical instrument, purpose/horizon, rule identity, declared score semantics and separate TI evidence admission."/>
            <a:graphic>
              <a:graphicData uri="http://schemas.openxmlformats.org/drawingml/2006/picture">
                <pic:pic>
                  <pic:nvPicPr>
                    <pic:cNvPr id="0" name="candidate-card.png" descr="Candidate example has source-namespaced immutable revision, canonical instrument, purpose/horizon, rule identity, declared score semantics and separate TI evidence admission."/>
                    <pic:cNvPicPr/>
                  </pic:nvPicPr>
                  <pic:blipFill>
                    <a:blip r:embed="rIdImg9"/>
                    <a:stretch>
                      <a:fillRect/>
                    </a:stretch>
                  </pic:blipFill>
                  <pic:spPr>
                    <a:xfrm>
                      <a:off x="0" y="0"/>
                      <a:ext cx="6327648" cy="2425598"/>
                    </a:xfrm>
                    <a:prstGeom prst="rect">
                      <a:avLst/>
                    </a:prstGeom>
                  </pic:spPr>
                </pic:pic>
              </a:graphicData>
            </a:graphic>
          </wp:inline>
        </w:drawing>
      </w:r>
    </w:p>
    <w:p>
      <w:pPr>
        <w:pStyle w:val="Caption"/>
      </w:pPr>
      <w:r>
        <w:t xml:space="preserve">Figure 09. Readable field groups; not a published wire schema or a live KAYNES signal.</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4300"/>
        <w:gridCol w:w="5734"/>
      </w:tblGrid>
      <w:tr>
        <w:trPr>
          <w:cantSplit/>
          <w:tblHeader/>
        </w:trPr>
        <w:tc>
          <w:tcPr>
            <w:tcW w:w="4300" w:type="dxa"/>
            <w:shd w:fill="17324D"/>
          </w:tcPr>
          <w:p>
            <w:pPr>
              <w:pStyle w:val="TableHead"/>
            </w:pPr>
            <w:r>
              <w:t xml:space="preserve">Required record groups</w:t>
            </w:r>
          </w:p>
        </w:tc>
        <w:tc>
          <w:tcPr>
            <w:tcW w:w="5734" w:type="dxa"/>
            <w:shd w:fill="17324D"/>
          </w:tcPr>
          <w:p>
            <w:pPr>
              <w:pStyle w:val="TableHead"/>
            </w:pPr>
            <w:r>
              <w:t xml:space="preserve">Meaning</w:t>
            </w:r>
          </w:p>
        </w:tc>
      </w:tr>
      <w:tr>
        <w:trPr>
          <w:cantSplit/>
        </w:trPr>
        <w:tc>
          <w:tcPr>
            <w:tcW w:w="4300" w:type="dxa"/>
            <w:shd w:fill="F0F5F7"/>
          </w:tcPr>
          <w:p>
            <w:pPr>
              <w:pStyle w:val="TableText"/>
            </w:pPr>
            <w:r>
              <w:t xml:space="preserve">Schema / event / correlation</w:t>
            </w:r>
          </w:p>
        </w:tc>
        <w:tc>
          <w:tcPr>
            <w:tcW w:w="5734" w:type="dxa"/>
            <w:shd w:fill="F0F5F7"/>
          </w:tcPr>
          <w:p>
            <w:pPr>
              <w:pStyle w:val="TableText"/>
            </w:pPr>
            <w:r>
              <w:t xml:space="preserve">Supported schema version, stable originating event, mapped trace context</w:t>
            </w:r>
          </w:p>
        </w:tc>
      </w:tr>
      <w:tr>
        <w:trPr>
          <w:cantSplit/>
        </w:trPr>
        <w:tc>
          <w:tcPr>
            <w:tcW w:w="4300" w:type="dxa"/>
            <w:shd w:fill="FFFFFF"/>
          </w:tcPr>
          <w:p>
            <w:pPr>
              <w:pStyle w:val="TableText"/>
            </w:pPr>
            <w:r>
              <w:t xml:space="preserve">signal_at / received_at / valid_until</w:t>
            </w:r>
          </w:p>
        </w:tc>
        <w:tc>
          <w:tcPr>
            <w:tcW w:w="5734" w:type="dxa"/>
            <w:shd w:fill="FFFFFF"/>
          </w:tcPr>
          <w:p>
            <w:pPr>
              <w:pStyle w:val="TableText"/>
            </w:pPr>
            <w:r>
              <w:t xml:space="preserve">Source time, receiver time and finite validity; late receipt does not reset expiry</w:t>
            </w:r>
          </w:p>
        </w:tc>
      </w:tr>
      <w:tr>
        <w:trPr>
          <w:cantSplit/>
        </w:trPr>
        <w:tc>
          <w:tcPr>
            <w:tcW w:w="4300" w:type="dxa"/>
            <w:shd w:fill="F0F5F7"/>
          </w:tcPr>
          <w:p>
            <w:pPr>
              <w:pStyle w:val="TableText"/>
            </w:pPr>
            <w:r>
              <w:t xml:space="preserve">Provenance + evidence references</w:t>
            </w:r>
          </w:p>
        </w:tc>
        <w:tc>
          <w:tcPr>
            <w:tcW w:w="5734" w:type="dxa"/>
            <w:shd w:fill="F0F5F7"/>
          </w:tcPr>
          <w:p>
            <w:pPr>
              <w:pStyle w:val="TableText"/>
            </w:pPr>
            <w:r>
              <w:t xml:space="preserve">Empty collections require explicit absence; raw source assertions remain attributable</w:t>
            </w:r>
          </w:p>
        </w:tc>
      </w:tr>
      <w:tr>
        <w:trPr>
          <w:cantSplit/>
        </w:trPr>
        <w:tc>
          <w:tcPr>
            <w:tcW w:w="4300" w:type="dxa"/>
            <w:shd w:fill="FFFFFF"/>
          </w:tcPr>
          <w:p>
            <w:pPr>
              <w:pStyle w:val="TableText"/>
            </w:pPr>
            <w:r>
              <w:t xml:space="preserve">Optional score / confidence / expression</w:t>
            </w:r>
          </w:p>
        </w:tc>
        <w:tc>
          <w:tcPr>
            <w:tcW w:w="5734" w:type="dxa"/>
            <w:shd w:fill="FFFFFF"/>
          </w:tcPr>
          <w:p>
            <w:pPr>
              <w:pStyle w:val="TableText"/>
            </w:pPr>
            <w:r>
              <w:t xml:space="preserve">Declared basis and scale; unknown semantics stay unknown; zero is valid</w:t>
            </w:r>
          </w:p>
        </w:tc>
      </w:tr>
    </w:tbl>
    <w:p>
      <w:pPr>
        <w:pStyle w:val="Spacer"/>
      </w:pPr>
      <w:r>
        <w:t xml:space="preserve"/>
      </w:r>
    </w:p>
    <w:p>
      <w:pPr>
        <w:pStyle w:val="Normal"/>
      </w:pPr>
      <w:r>
        <w:t xml:space="preserve">All timestamps are aware, normalized with zoneinfo.ZoneInfo("Asia/Kolkata") and serialized with +05:30. Naive inputs are rejected. Semantic collections remain immutable tuples with JSON arrays; extensible metadata is not promised deep immutability.</w:t>
      </w:r>
    </w:p>
    <w:p>
      <w:pPr>
        <w:pStyle w:val="Source"/>
      </w:pPr>
      <w:r>
        <w:t xml:space="preserve">READ WITH  Ecosystem §3; package version 0.1.0 is separate from A0 contract schema version 1.0</w:t>
      </w:r>
    </w:p>
    <w:p>
      <w:pPr>
        <w:pStyle w:val="Eyebrow"/>
        <w:pageBreakBefore/>
      </w:pPr>
      <w:r>
        <w:t xml:space="preserve">I • STATE  /  ACCEPTED DESIGN</w:t>
      </w:r>
    </w:p>
    <w:p>
      <w:pPr>
        <w:pStyle w:val="Heading1"/>
      </w:pPr>
      <w:r>
        <w:t xml:space="preserve">Discovery and intelligence stay separate</w:t>
      </w:r>
    </w:p>
    <w:p>
      <w:pPr>
        <w:jc w:val="center"/>
        <w:keepNext/>
      </w:pPr>
      <w:r>
        <w:drawing>
          <wp:inline distT="0" distB="0" distL="0" distR="0">
            <wp:extent cx="6327648" cy="3691128"/>
            <wp:docPr id="10" name="Figure 10" descr="DISCOVERED becomes ACTIVE when valid; expiry, successor or withdrawal produce separate terminal discovery records. TI run status is separate from SUPPORTIVE, WAIT, NO_TRADE, AVOID, CONFLICTED, ABSTAIN and INSUFFICIENT_EVIDENCE."/>
            <a:graphic>
              <a:graphicData uri="http://schemas.openxmlformats.org/drawingml/2006/picture">
                <pic:pic>
                  <pic:nvPicPr>
                    <pic:cNvPr id="0" name="states.png" descr="DISCOVERED becomes ACTIVE when valid; expiry, successor or withdrawal produce separate terminal discovery records. TI run status is separate from SUPPORTIVE, WAIT, NO_TRADE, AVOID, CONFLICTED, ABSTAIN and INSUFFICIENT_EVIDENCE."/>
                    <pic:cNvPicPr/>
                  </pic:nvPicPr>
                  <pic:blipFill>
                    <a:blip r:embed="rIdImg10"/>
                    <a:stretch>
                      <a:fillRect/>
                    </a:stretch>
                  </pic:blipFill>
                  <pic:spPr>
                    <a:xfrm>
                      <a:off x="0" y="0"/>
                      <a:ext cx="6327648" cy="3691128"/>
                    </a:xfrm>
                    <a:prstGeom prst="rect">
                      <a:avLst/>
                    </a:prstGeom>
                  </pic:spPr>
                </pic:pic>
              </a:graphicData>
            </a:graphic>
          </wp:inline>
        </w:drawing>
      </w:r>
    </w:p>
    <w:p>
      <w:pPr>
        <w:pStyle w:val="Caption"/>
      </w:pPr>
      <w:r>
        <w:t xml:space="preserve">Figure 10. Run completion is not a market opinion; an opinion is not an order.</w:t>
      </w:r>
    </w:p>
    <w:p>
      <w:pPr>
        <w:pStyle w:val="Normal"/>
      </w:pPr>
      <w:r>
        <w:t xml:space="preserve">A failed evaluation records a failed run. It cannot invent WAIT, SUPPORTIVE or NO_TRADE as if evidence supported that disposition. Conversely, a successfully completed A4 run may legitimately conclude ABSTAIN or INSUFFICIENT_EVIDENCE. UI status and domain meaning must both remain visible.</w:t>
      </w:r>
    </w:p>
    <w:p>
      <w:pPr>
        <w:pStyle w:val="Normal"/>
      </w:pPr>
      <w:r>
        <w:t xml:space="preserve">A source correction creates a successor revision. Retraction and expiry are retained events, not deletion. A superseded candidate invalidates linkage to old approval inputs, but does not silently cancel an already submitted broker order. TM reconciles that independent operational lifecycle.</w:t>
      </w:r>
    </w:p>
    <w:p>
      <w:pPr>
        <w:pStyle w:val="Source"/>
      </w:pPr>
      <w:r>
        <w:t xml:space="preserve">READ WITH  Ecosystem §§3–4</w:t>
      </w:r>
    </w:p>
    <w:p>
      <w:pPr>
        <w:pStyle w:val="Eyebrow"/>
        <w:pageBreakBefore/>
      </w:pPr>
      <w:r>
        <w:t xml:space="preserve">I • STATE  /  ACCEPTED DESIGN</w:t>
      </w:r>
    </w:p>
    <w:p>
      <w:pPr>
        <w:pStyle w:val="Heading1"/>
      </w:pPr>
      <w:r>
        <w:t xml:space="preserve">Approval, submission and fill are different</w:t>
      </w:r>
    </w:p>
    <w:p>
      <w:pPr>
        <w:jc w:val="center"/>
        <w:keepNext/>
      </w:pPr>
      <w:r>
        <w:drawing>
          <wp:inline distT="0" distB="0" distL="0" distR="0">
            <wp:extent cx="6327648" cy="3866896"/>
            <wp:docPr id="11" name="Figure 11" descr="TM reviews a proposal, blocks it or grants bounded approval, then rechecks before submitting. Separate broker acknowledgements, partial fills, fills, cancellation, rejection and unknown outcomes require reconciliation."/>
            <a:graphic>
              <a:graphicData uri="http://schemas.openxmlformats.org/drawingml/2006/picture">
                <pic:pic>
                  <pic:nvPicPr>
                    <pic:cNvPr id="0" name="operations.png" descr="TM reviews a proposal, blocks it or grants bounded approval, then rechecks before submitting. Separate broker acknowledgements, partial fills, fills, cancellation, rejection and unknown outcomes require reconciliation."/>
                    <pic:cNvPicPr/>
                  </pic:nvPicPr>
                  <pic:blipFill>
                    <a:blip r:embed="rIdImg11"/>
                    <a:stretch>
                      <a:fillRect/>
                    </a:stretch>
                  </pic:blipFill>
                  <pic:spPr>
                    <a:xfrm>
                      <a:off x="0" y="0"/>
                      <a:ext cx="6327648" cy="3866896"/>
                    </a:xfrm>
                    <a:prstGeom prst="rect">
                      <a:avLst/>
                    </a:prstGeom>
                  </pic:spPr>
                </pic:pic>
              </a:graphicData>
            </a:graphic>
          </wp:inline>
        </w:drawing>
      </w:r>
    </w:p>
    <w:p>
      <w:pPr>
        <w:pStyle w:val="Caption"/>
      </w:pPr>
      <w:r>
        <w:t xml:space="preserve">Figure 11. The broker stream is not a continuation of a TI opinion enum.</w:t>
      </w:r>
    </w:p>
    <w:p>
      <w:pPr>
        <w:pStyle w:val="Normal"/>
      </w:pPr>
      <w:r>
        <w:t xml:space="preserve">An APPROVED UI row means a bounded TM decision existed—not that the action remains valid now. New exposure, revocation, expired evidence or a revised expression can invalidate dispatch. An acknowledged order is not yet a fill; a partial fill creates real exposure even if the remainder is cancelled.</w:t>
      </w:r>
    </w:p>
    <w:p>
      <w:pPr>
        <w:pStyle w:val="Callout"/>
      </w:pPr>
      <w:r>
        <w:t xml:space="preserve">Broker truth outranks cached assumptions. OUTCOME_UNKNOWN is not permission to submit a second order.</w:t>
      </w:r>
    </w:p>
    <w:p>
      <w:pPr>
        <w:pStyle w:val="Source"/>
      </w:pPr>
      <w:r>
        <w:t xml:space="preserve">READ WITH  Ecosystem §§4,7</w:t>
      </w:r>
    </w:p>
    <w:p>
      <w:pPr>
        <w:pStyle w:val="Eyebrow"/>
        <w:pageBreakBefore/>
      </w:pPr>
      <w:r>
        <w:t xml:space="preserve">I • OBJECTS  /  ACCEPTED DESIGN</w:t>
      </w:r>
    </w:p>
    <w:p>
      <w:pPr>
        <w:pStyle w:val="Heading1"/>
      </w:pPr>
      <w:r>
        <w:t xml:space="preserve">The semantic object chain</w:t>
      </w:r>
    </w:p>
    <w:p>
      <w:pPr>
        <w:jc w:val="center"/>
        <w:keepNext/>
      </w:pPr>
      <w:r>
        <w:drawing>
          <wp:inline distT="0" distB="0" distL="0" distR="0">
            <wp:extent cx="6327648" cy="2882595"/>
            <wp:docPr id="12" name="Figure 12" descr="Object chain with owners: source Candidate, TI thesis and future expression, TM ExecutionIntent, broker order/fill/position, TM OperationalPosition and TI A5 monitoring advice."/>
            <a:graphic>
              <a:graphicData uri="http://schemas.openxmlformats.org/drawingml/2006/picture">
                <pic:pic>
                  <pic:nvPicPr>
                    <pic:cNvPr id="0" name="objects.png" descr="Object chain with owners: source Candidate, TI thesis and future expression, TM ExecutionIntent, broker order/fill/position, TM OperationalPosition and TI A5 monitoring advice."/>
                    <pic:cNvPicPr/>
                  </pic:nvPicPr>
                  <pic:blipFill>
                    <a:blip r:embed="rIdImg12"/>
                    <a:stretch>
                      <a:fillRect/>
                    </a:stretch>
                  </pic:blipFill>
                  <pic:spPr>
                    <a:xfrm>
                      <a:off x="0" y="0"/>
                      <a:ext cx="6327648" cy="2882595"/>
                    </a:xfrm>
                    <a:prstGeom prst="rect">
                      <a:avLst/>
                    </a:prstGeom>
                  </pic:spPr>
                </pic:pic>
              </a:graphicData>
            </a:graphic>
          </wp:inline>
        </w:drawing>
      </w:r>
    </w:p>
    <w:p>
      <w:pPr>
        <w:pStyle w:val="Caption"/>
      </w:pPr>
      <w:r>
        <w:t xml:space="preserve">Figure 12. Different objects answer different questions; no mandatory TradeIntent is introduced.</w:t>
      </w:r>
    </w:p>
    <w:p>
      <w:pPr>
        <w:pStyle w:val="Normal"/>
      </w:pPr>
      <w:r>
        <w:t xml:space="preserve">This is a semantic map, not a compulsory pipeline. A NO_TRADE candidate stops. Equity need not pass through an options-only A6. Manual exposure enters through adoption. A broker position may aggregate several fills/orders; TM must preserve that mapping instead of assuming one candidate equals one position.</w:t>
      </w:r>
    </w:p>
    <w:p>
      <w:pPr>
        <w:pStyle w:val="Source"/>
      </w:pPr>
      <w:r>
        <w:t xml:space="preserve">READ WITH  Ecosystem §§4–5</w:t>
      </w:r>
    </w:p>
    <w:p>
      <w:pPr>
        <w:pStyle w:val="Eyebrow"/>
        <w:pageBreakBefore/>
      </w:pPr>
      <w:r>
        <w:t xml:space="preserve">I • OWNERSHIP REFERENCE  /  ACCEPTED DESIGN</w:t>
      </w:r>
    </w:p>
    <w:p>
      <w:pPr>
        <w:pStyle w:val="Heading1"/>
      </w:pPr>
      <w:r>
        <w:t xml:space="preserve">Who owns discovery and advice?</w:t>
      </w:r>
    </w:p>
    <w:p>
      <w:pPr>
        <w:pStyle w:val="Normal"/>
      </w:pPr>
      <w:r>
        <w:t xml:space="preserve">The compact matrix separates the object owner from its producer and consumer. “No” in the authority column means the object cannot itself authorize execution. Immutable results may link to successors; a new interpretation never rewrites the earlier one.</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2100"/>
        <w:gridCol w:w="2400"/>
        <w:gridCol w:w="2200"/>
        <w:gridCol w:w="3334"/>
      </w:tblGrid>
      <w:tr>
        <w:trPr>
          <w:cantSplit/>
          <w:tblHeader/>
        </w:trPr>
        <w:tc>
          <w:tcPr>
            <w:tcW w:w="2100" w:type="dxa"/>
            <w:shd w:fill="17324D"/>
          </w:tcPr>
          <w:p>
            <w:pPr>
              <w:pStyle w:val="TableHead"/>
            </w:pPr>
            <w:r>
              <w:t xml:space="preserve">Object / owner</w:t>
            </w:r>
          </w:p>
        </w:tc>
        <w:tc>
          <w:tcPr>
            <w:tcW w:w="2400" w:type="dxa"/>
            <w:shd w:fill="17324D"/>
          </w:tcPr>
          <w:p>
            <w:pPr>
              <w:pStyle w:val="TableHead"/>
            </w:pPr>
            <w:r>
              <w:t xml:space="preserve">Producer → consumer</w:t>
            </w:r>
          </w:p>
        </w:tc>
        <w:tc>
          <w:tcPr>
            <w:tcW w:w="2200" w:type="dxa"/>
            <w:shd w:fill="17324D"/>
          </w:tcPr>
          <w:p>
            <w:pPr>
              <w:pStyle w:val="TableHead"/>
            </w:pPr>
            <w:r>
              <w:t xml:space="preserve">Executable / authority</w:t>
            </w:r>
          </w:p>
        </w:tc>
        <w:tc>
          <w:tcPr>
            <w:tcW w:w="3334" w:type="dxa"/>
            <w:shd w:fill="17324D"/>
          </w:tcPr>
          <w:p>
            <w:pPr>
              <w:pStyle w:val="TableHead"/>
            </w:pPr>
            <w:r>
              <w:t xml:space="preserve">Persistence &amp; replay</w:t>
            </w:r>
          </w:p>
        </w:tc>
      </w:tr>
      <w:tr>
        <w:trPr>
          <w:cantSplit/>
        </w:trPr>
        <w:tc>
          <w:tcPr>
            <w:tcW w:w="2100" w:type="dxa"/>
            <w:shd w:fill="F0F5F7"/>
          </w:tcPr>
          <w:p>
            <w:pPr>
              <w:pStyle w:val="TableText"/>
            </w:pPr>
            <w:r>
              <w:t xml:space="preserve">Watchlist</w:t>
            </w:r>
            <w:r>
              <w:br/>
              <w:t xml:space="preserve">Subscriber app</w:t>
            </w:r>
          </w:p>
        </w:tc>
        <w:tc>
          <w:tcPr>
            <w:tcW w:w="2400" w:type="dxa"/>
            <w:shd w:fill="F0F5F7"/>
          </w:tcPr>
          <w:p>
            <w:pPr>
              <w:pStyle w:val="TableText"/>
            </w:pPr>
            <w:r>
              <w:t xml:space="preserve">User/app → scanner / TI client</w:t>
            </w:r>
          </w:p>
        </w:tc>
        <w:tc>
          <w:tcPr>
            <w:tcW w:w="2200" w:type="dxa"/>
            <w:shd w:fill="F0F5F7"/>
          </w:tcPr>
          <w:p>
            <w:pPr>
              <w:pStyle w:val="TableText"/>
            </w:pPr>
            <w:r>
              <w:t xml:space="preserve">No; organization only</w:t>
            </w:r>
          </w:p>
        </w:tc>
        <w:tc>
          <w:tcPr>
            <w:tcW w:w="3334" w:type="dxa"/>
            <w:shd w:fill="F0F5F7"/>
          </w:tcPr>
          <w:p>
            <w:pPr>
              <w:pStyle w:val="TableText"/>
            </w:pPr>
            <w:r>
              <w:t xml:space="preserve">Version membership; retain admitted group context, no live membership lookup.</w:t>
            </w:r>
          </w:p>
        </w:tc>
      </w:tr>
      <w:tr>
        <w:trPr>
          <w:cantSplit/>
        </w:trPr>
        <w:tc>
          <w:tcPr>
            <w:tcW w:w="2100" w:type="dxa"/>
            <w:shd w:fill="FFFFFF"/>
          </w:tcPr>
          <w:p>
            <w:pPr>
              <w:pStyle w:val="TableText"/>
            </w:pPr>
            <w:r>
              <w:t xml:space="preserve">Candidate</w:t>
            </w:r>
            <w:r>
              <w:br/>
              <w:t xml:space="preserve">Source app</w:t>
            </w:r>
          </w:p>
        </w:tc>
        <w:tc>
          <w:tcPr>
            <w:tcW w:w="2400" w:type="dxa"/>
            <w:shd w:fill="FFFFFF"/>
          </w:tcPr>
          <w:p>
            <w:pPr>
              <w:pStyle w:val="TableText"/>
            </w:pPr>
            <w:r>
              <w:t xml:space="preserve">Authenticated source adapter → TI / TM</w:t>
            </w:r>
          </w:p>
        </w:tc>
        <w:tc>
          <w:tcPr>
            <w:tcW w:w="2200" w:type="dxa"/>
            <w:shd w:fill="FFFFFF"/>
          </w:tcPr>
          <w:p>
            <w:pPr>
              <w:pStyle w:val="TableText"/>
            </w:pPr>
            <w:r>
              <w:t xml:space="preserve">No; source proposal</w:t>
            </w:r>
          </w:p>
        </w:tc>
        <w:tc>
          <w:tcPr>
            <w:tcW w:w="3334" w:type="dxa"/>
            <w:shd w:fill="FFFFFF"/>
          </w:tcPr>
          <w:p>
            <w:pPr>
              <w:pStyle w:val="TableText"/>
            </w:pPr>
            <w:r>
              <w:t xml:space="preserve">Immutable revision + receipts/events; replay without rescanning.</w:t>
            </w:r>
          </w:p>
        </w:tc>
      </w:tr>
      <w:tr>
        <w:trPr>
          <w:cantSplit/>
        </w:trPr>
        <w:tc>
          <w:tcPr>
            <w:tcW w:w="2100" w:type="dxa"/>
            <w:shd w:fill="F0F5F7"/>
          </w:tcPr>
          <w:p>
            <w:pPr>
              <w:pStyle w:val="TableText"/>
            </w:pPr>
            <w:r>
              <w:t xml:space="preserve">Nested proposed expression</w:t>
            </w:r>
            <w:r>
              <w:br/>
              <w:t xml:space="preserve">Source app</w:t>
            </w:r>
          </w:p>
        </w:tc>
        <w:tc>
          <w:tcPr>
            <w:tcW w:w="2400" w:type="dxa"/>
            <w:shd w:fill="F0F5F7"/>
          </w:tcPr>
          <w:p>
            <w:pPr>
              <w:pStyle w:val="TableText"/>
            </w:pPr>
            <w:r>
              <w:t xml:space="preserve">Source within Candidate → A6 / TM</w:t>
            </w:r>
          </w:p>
        </w:tc>
        <w:tc>
          <w:tcPr>
            <w:tcW w:w="2200" w:type="dxa"/>
            <w:shd w:fill="F0F5F7"/>
          </w:tcPr>
          <w:p>
            <w:pPr>
              <w:pStyle w:val="TableText"/>
            </w:pPr>
            <w:r>
              <w:t xml:space="preserve">No; untrusted proposal</w:t>
            </w:r>
          </w:p>
        </w:tc>
        <w:tc>
          <w:tcPr>
            <w:tcW w:w="3334" w:type="dxa"/>
            <w:shd w:fill="F0F5F7"/>
          </w:tcPr>
          <w:p>
            <w:pPr>
              <w:pStyle w:val="TableText"/>
            </w:pPr>
            <w:r>
              <w:t xml:space="preserve">Version with Candidate; preserve original content and digest.</w:t>
            </w:r>
          </w:p>
        </w:tc>
      </w:tr>
      <w:tr>
        <w:trPr>
          <w:cantSplit/>
        </w:trPr>
        <w:tc>
          <w:tcPr>
            <w:tcW w:w="2100" w:type="dxa"/>
            <w:shd w:fill="FFFFFF"/>
          </w:tcPr>
          <w:p>
            <w:pPr>
              <w:pStyle w:val="TableText"/>
            </w:pPr>
            <w:r>
              <w:t xml:space="preserve">Opportunity / Thesis</w:t>
            </w:r>
            <w:r>
              <w:br/>
              <w:t xml:space="preserve">TI</w:t>
            </w:r>
          </w:p>
        </w:tc>
        <w:tc>
          <w:tcPr>
            <w:tcW w:w="2400" w:type="dxa"/>
            <w:shd w:fill="FFFFFF"/>
          </w:tcPr>
          <w:p>
            <w:pPr>
              <w:pStyle w:val="TableText"/>
            </w:pPr>
            <w:r>
              <w:t xml:space="preserve">A2/A3/A3.9/A4 → apps / A6 / TM / A5</w:t>
            </w:r>
          </w:p>
        </w:tc>
        <w:tc>
          <w:tcPr>
            <w:tcW w:w="2200" w:type="dxa"/>
            <w:shd w:fill="FFFFFF"/>
          </w:tcPr>
          <w:p>
            <w:pPr>
              <w:pStyle w:val="TableText"/>
            </w:pPr>
            <w:r>
              <w:t xml:space="preserve">No; evidence-based advice</w:t>
            </w:r>
          </w:p>
        </w:tc>
        <w:tc>
          <w:tcPr>
            <w:tcW w:w="3334" w:type="dxa"/>
            <w:shd w:fill="FFFFFF"/>
          </w:tcPr>
          <w:p>
            <w:pPr>
              <w:pStyle w:val="TableText"/>
            </w:pPr>
            <w:r>
              <w:t xml:space="preserve">Preserve child schemas, policy and captures; successors link to parents.</w:t>
            </w:r>
          </w:p>
        </w:tc>
      </w:tr>
      <w:tr>
        <w:trPr>
          <w:cantSplit/>
        </w:trPr>
        <w:tc>
          <w:tcPr>
            <w:tcW w:w="2100" w:type="dxa"/>
            <w:shd w:fill="F0F5F7"/>
          </w:tcPr>
          <w:p>
            <w:pPr>
              <w:pStyle w:val="TableText"/>
            </w:pPr>
            <w:r>
              <w:t xml:space="preserve">TradeExpression</w:t>
            </w:r>
            <w:r>
              <w:br/>
              <w:t xml:space="preserve">TI / future A6</w:t>
            </w:r>
          </w:p>
        </w:tc>
        <w:tc>
          <w:tcPr>
            <w:tcW w:w="2400" w:type="dxa"/>
            <w:shd w:fill="F0F5F7"/>
          </w:tcPr>
          <w:p>
            <w:pPr>
              <w:pStyle w:val="TableText"/>
            </w:pPr>
            <w:r>
              <w:t xml:space="preserve">Supported evaluator → TM</w:t>
            </w:r>
          </w:p>
        </w:tc>
        <w:tc>
          <w:tcPr>
            <w:tcW w:w="2200" w:type="dxa"/>
            <w:shd w:fill="F0F5F7"/>
          </w:tcPr>
          <w:p>
            <w:pPr>
              <w:pStyle w:val="TableText"/>
            </w:pPr>
            <w:r>
              <w:t xml:space="preserve">No; suitability ≠ permission</w:t>
            </w:r>
          </w:p>
        </w:tc>
        <w:tc>
          <w:tcPr>
            <w:tcW w:w="3334" w:type="dxa"/>
            <w:shd w:fill="F0F5F7"/>
          </w:tcPr>
          <w:p>
            <w:pPr>
              <w:pStyle w:val="TableText"/>
            </w:pPr>
            <w:r>
              <w:t xml:space="preserve">Pin candidate/input/alternatives; new result on reassessment.</w:t>
            </w:r>
          </w:p>
        </w:tc>
      </w:tr>
      <w:tr>
        <w:trPr>
          <w:cantSplit/>
        </w:trPr>
        <w:tc>
          <w:tcPr>
            <w:tcW w:w="2100" w:type="dxa"/>
            <w:shd w:fill="FFFFFF"/>
          </w:tcPr>
          <w:p>
            <w:pPr>
              <w:pStyle w:val="TableText"/>
            </w:pPr>
            <w:r>
              <w:t xml:space="preserve">A5Advice</w:t>
            </w:r>
            <w:r>
              <w:br/>
              <w:t xml:space="preserve">TI</w:t>
            </w:r>
          </w:p>
        </w:tc>
        <w:tc>
          <w:tcPr>
            <w:tcW w:w="2400" w:type="dxa"/>
            <w:shd w:fill="FFFFFF"/>
          </w:tcPr>
          <w:p>
            <w:pPr>
              <w:pStyle w:val="TableText"/>
            </w:pPr>
            <w:r>
              <w:t xml:space="preserve">A5 → subscriber / TM</w:t>
            </w:r>
          </w:p>
        </w:tc>
        <w:tc>
          <w:tcPr>
            <w:tcW w:w="2200" w:type="dxa"/>
            <w:shd w:fill="FFFFFF"/>
          </w:tcPr>
          <w:p>
            <w:pPr>
              <w:pStyle w:val="TableText"/>
            </w:pPr>
            <w:r>
              <w:t xml:space="preserve">No; protection/exit intent is advisory</w:t>
            </w:r>
          </w:p>
        </w:tc>
        <w:tc>
          <w:tcPr>
            <w:tcW w:w="3334" w:type="dxa"/>
            <w:shd w:fill="FFFFFF"/>
          </w:tcPr>
          <w:p>
            <w:pPr>
              <w:pStyle w:val="TableText"/>
            </w:pPr>
            <w:r>
              <w:t xml:space="preserve">Accepted capture/replay + policy identity; do not rename the runtime schema.</w:t>
            </w:r>
          </w:p>
        </w:tc>
      </w:tr>
    </w:tbl>
    <w:p>
      <w:pPr>
        <w:pStyle w:val="Spacer"/>
      </w:pPr>
      <w:r>
        <w:t xml:space="preserve"/>
      </w:r>
    </w:p>
    <w:p>
      <w:pPr>
        <w:pStyle w:val="Callout"/>
      </w:pPr>
      <w:r>
        <w:t xml:space="preserve">An object can be authoritative about its own meaning without being authorized to cause a broker action.</w:t>
      </w:r>
    </w:p>
    <w:p>
      <w:pPr>
        <w:pStyle w:val="Normal"/>
      </w:pPr>
      <w:r>
        <w:t xml:space="preserve">For example, TI owns the exact A4 conclusion and its evidence lineage. TM cannot relabel WAIT as SUPPORTIVE. But only TM can decide whether a separately specified policy permits an operational action, using current grants, account state and risk constraints.</w:t>
      </w:r>
    </w:p>
    <w:p>
      <w:pPr>
        <w:pStyle w:val="Source"/>
      </w:pPr>
      <w:r>
        <w:t xml:space="preserve">READ WITH  Ecosystem §5</w:t>
      </w:r>
    </w:p>
    <w:p>
      <w:pPr>
        <w:pStyle w:val="Eyebrow"/>
        <w:pageBreakBefore/>
      </w:pPr>
      <w:r>
        <w:t xml:space="preserve">I • OWNERSHIP REFERENCE  /  ACCEPTED DESIGN</w:t>
      </w:r>
    </w:p>
    <w:p>
      <w:pPr>
        <w:pStyle w:val="Heading1"/>
      </w:pPr>
      <w:r>
        <w:t xml:space="preserve">Who owns action and reevaluation?</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2100"/>
        <w:gridCol w:w="2350"/>
        <w:gridCol w:w="2300"/>
        <w:gridCol w:w="3284"/>
      </w:tblGrid>
      <w:tr>
        <w:trPr>
          <w:cantSplit/>
          <w:tblHeader/>
        </w:trPr>
        <w:tc>
          <w:tcPr>
            <w:tcW w:w="2100" w:type="dxa"/>
            <w:shd w:fill="17324D"/>
          </w:tcPr>
          <w:p>
            <w:pPr>
              <w:pStyle w:val="TableHead"/>
            </w:pPr>
            <w:r>
              <w:t xml:space="preserve">Object / owner</w:t>
            </w:r>
          </w:p>
        </w:tc>
        <w:tc>
          <w:tcPr>
            <w:tcW w:w="2350" w:type="dxa"/>
            <w:shd w:fill="17324D"/>
          </w:tcPr>
          <w:p>
            <w:pPr>
              <w:pStyle w:val="TableHead"/>
            </w:pPr>
            <w:r>
              <w:t xml:space="preserve">Producer → consumer</w:t>
            </w:r>
          </w:p>
        </w:tc>
        <w:tc>
          <w:tcPr>
            <w:tcW w:w="2300" w:type="dxa"/>
            <w:shd w:fill="17324D"/>
          </w:tcPr>
          <w:p>
            <w:pPr>
              <w:pStyle w:val="TableHead"/>
            </w:pPr>
            <w:r>
              <w:t xml:space="preserve">Executable / authority</w:t>
            </w:r>
          </w:p>
        </w:tc>
        <w:tc>
          <w:tcPr>
            <w:tcW w:w="3284" w:type="dxa"/>
            <w:shd w:fill="17324D"/>
          </w:tcPr>
          <w:p>
            <w:pPr>
              <w:pStyle w:val="TableHead"/>
            </w:pPr>
            <w:r>
              <w:t xml:space="preserve">Persistence &amp; replay</w:t>
            </w:r>
          </w:p>
        </w:tc>
      </w:tr>
      <w:tr>
        <w:trPr>
          <w:cantSplit/>
        </w:trPr>
        <w:tc>
          <w:tcPr>
            <w:tcW w:w="2100" w:type="dxa"/>
            <w:shd w:fill="F0F5F7"/>
          </w:tcPr>
          <w:p>
            <w:pPr>
              <w:pStyle w:val="TableText"/>
            </w:pPr>
            <w:r>
              <w:t xml:space="preserve">ExecutionIntent</w:t>
            </w:r>
            <w:r>
              <w:br/>
              <w:t xml:space="preserve">TM</w:t>
            </w:r>
          </w:p>
        </w:tc>
        <w:tc>
          <w:tcPr>
            <w:tcW w:w="2350" w:type="dxa"/>
            <w:shd w:fill="F0F5F7"/>
          </w:tcPr>
          <w:p>
            <w:pPr>
              <w:pStyle w:val="TableText"/>
            </w:pPr>
            <w:r>
              <w:t xml:space="preserve">Authorized TM workflow → TM broker adapter</w:t>
            </w:r>
          </w:p>
        </w:tc>
        <w:tc>
          <w:tcPr>
            <w:tcW w:w="2300" w:type="dxa"/>
            <w:shd w:fill="F0F5F7"/>
          </w:tcPr>
          <w:p>
            <w:pPr>
              <w:pStyle w:val="TableText"/>
            </w:pPr>
            <w:r>
              <w:t xml:space="preserve">Conditional; current TM gate required</w:t>
            </w:r>
          </w:p>
        </w:tc>
        <w:tc>
          <w:tcPr>
            <w:tcW w:w="3284" w:type="dxa"/>
            <w:shd w:fill="F0F5F7"/>
          </w:tcPr>
          <w:p>
            <w:pPr>
              <w:pStyle w:val="TableText"/>
            </w:pPr>
            <w:r>
              <w:t xml:space="preserve">Durable action ID, pinned approval and attempts; amendments reauthorized; replay never dispatches.</w:t>
            </w:r>
          </w:p>
        </w:tc>
      </w:tr>
      <w:tr>
        <w:trPr>
          <w:cantSplit/>
        </w:trPr>
        <w:tc>
          <w:tcPr>
            <w:tcW w:w="2100" w:type="dxa"/>
            <w:shd w:fill="FFFFFF"/>
          </w:tcPr>
          <w:p>
            <w:pPr>
              <w:pStyle w:val="TableText"/>
            </w:pPr>
            <w:r>
              <w:t xml:space="preserve">BrokerOrder</w:t>
            </w:r>
            <w:r>
              <w:br/>
              <w:t xml:space="preserve">Broker</w:t>
            </w:r>
          </w:p>
        </w:tc>
        <w:tc>
          <w:tcPr>
            <w:tcW w:w="2350" w:type="dxa"/>
            <w:shd w:fill="FFFFFF"/>
          </w:tcPr>
          <w:p>
            <w:pPr>
              <w:pStyle w:val="TableText"/>
            </w:pPr>
            <w:r>
              <w:t xml:space="preserve">Broker → TM / projections</w:t>
            </w:r>
          </w:p>
        </w:tc>
        <w:tc>
          <w:tcPr>
            <w:tcW w:w="2300" w:type="dxa"/>
            <w:shd w:fill="FFFFFF"/>
          </w:tcPr>
          <w:p>
            <w:pPr>
              <w:pStyle w:val="TableText"/>
            </w:pPr>
            <w:r>
              <w:t xml:space="preserve">Actual order state; not client-authored truth</w:t>
            </w:r>
          </w:p>
        </w:tc>
        <w:tc>
          <w:tcPr>
            <w:tcW w:w="3284" w:type="dxa"/>
            <w:shd w:fill="FFFFFF"/>
          </w:tcPr>
          <w:p>
            <w:pPr>
              <w:pStyle w:val="TableText"/>
            </w:pPr>
            <w:r>
              <w:t xml:space="preserve">Broker IDs, updates, acknowledgements and unknowns retained; no replay submission.</w:t>
            </w:r>
          </w:p>
        </w:tc>
      </w:tr>
      <w:tr>
        <w:trPr>
          <w:cantSplit/>
        </w:trPr>
        <w:tc>
          <w:tcPr>
            <w:tcW w:w="2100" w:type="dxa"/>
            <w:shd w:fill="F0F5F7"/>
          </w:tcPr>
          <w:p>
            <w:pPr>
              <w:pStyle w:val="TableText"/>
            </w:pPr>
            <w:r>
              <w:t xml:space="preserve">Fill</w:t>
            </w:r>
            <w:r>
              <w:br/>
              <w:t xml:space="preserve">Broker</w:t>
            </w:r>
          </w:p>
        </w:tc>
        <w:tc>
          <w:tcPr>
            <w:tcW w:w="2350" w:type="dxa"/>
            <w:shd w:fill="F0F5F7"/>
          </w:tcPr>
          <w:p>
            <w:pPr>
              <w:pStyle w:val="TableText"/>
            </w:pPr>
            <w:r>
              <w:t xml:space="preserve">Broker → reconciliation</w:t>
            </w:r>
          </w:p>
        </w:tc>
        <w:tc>
          <w:tcPr>
            <w:tcW w:w="2300" w:type="dxa"/>
            <w:shd w:fill="F0F5F7"/>
          </w:tcPr>
          <w:p>
            <w:pPr>
              <w:pStyle w:val="TableText"/>
            </w:pPr>
            <w:r>
              <w:t xml:space="preserve">Executed fact, not reusable permission</w:t>
            </w:r>
          </w:p>
        </w:tc>
        <w:tc>
          <w:tcPr>
            <w:tcW w:w="3284" w:type="dxa"/>
            <w:shd w:fill="F0F5F7"/>
          </w:tcPr>
          <w:p>
            <w:pPr>
              <w:pStyle w:val="TableText"/>
            </w:pPr>
            <w:r>
              <w:t xml:space="preserve">Observed ID/account/qty/price/time; append attributable corrections.</w:t>
            </w:r>
          </w:p>
        </w:tc>
      </w:tr>
      <w:tr>
        <w:trPr>
          <w:cantSplit/>
        </w:trPr>
        <w:tc>
          <w:tcPr>
            <w:tcW w:w="2100" w:type="dxa"/>
            <w:shd w:fill="FFFFFF"/>
          </w:tcPr>
          <w:p>
            <w:pPr>
              <w:pStyle w:val="TableText"/>
            </w:pPr>
            <w:r>
              <w:t xml:space="preserve">BrokerPosition</w:t>
            </w:r>
            <w:r>
              <w:br/>
              <w:t xml:space="preserve">Broker</w:t>
            </w:r>
          </w:p>
        </w:tc>
        <w:tc>
          <w:tcPr>
            <w:tcW w:w="2350" w:type="dxa"/>
            <w:shd w:fill="FFFFFF"/>
          </w:tcPr>
          <w:p>
            <w:pPr>
              <w:pStyle w:val="TableText"/>
            </w:pPr>
            <w:r>
              <w:t xml:space="preserve">Snapshots/events → TM</w:t>
            </w:r>
          </w:p>
        </w:tc>
        <w:tc>
          <w:tcPr>
            <w:tcW w:w="2300" w:type="dxa"/>
            <w:shd w:fill="FFFFFF"/>
          </w:tcPr>
          <w:p>
            <w:pPr>
              <w:pStyle w:val="TableText"/>
            </w:pPr>
            <w:r>
              <w:t xml:space="preserve">Exposure truth, not command</w:t>
            </w:r>
          </w:p>
        </w:tc>
        <w:tc>
          <w:tcPr>
            <w:tcW w:w="3284" w:type="dxa"/>
            <w:shd w:fill="FFFFFF"/>
          </w:tcPr>
          <w:p>
            <w:pPr>
              <w:pStyle w:val="TableText"/>
            </w:pPr>
            <w:r>
              <w:t xml:space="preserve">Version observations and acquisition times; preserve uncertainty.</w:t>
            </w:r>
          </w:p>
        </w:tc>
      </w:tr>
      <w:tr>
        <w:trPr>
          <w:cantSplit/>
        </w:trPr>
        <w:tc>
          <w:tcPr>
            <w:tcW w:w="2100" w:type="dxa"/>
            <w:shd w:fill="F0F5F7"/>
          </w:tcPr>
          <w:p>
            <w:pPr>
              <w:pStyle w:val="TableText"/>
            </w:pPr>
            <w:r>
              <w:t xml:space="preserve">OperationalPosition</w:t>
            </w:r>
            <w:r>
              <w:br/>
              <w:t xml:space="preserve">TM</w:t>
            </w:r>
          </w:p>
        </w:tc>
        <w:tc>
          <w:tcPr>
            <w:tcW w:w="2350" w:type="dxa"/>
            <w:shd w:fill="F0F5F7"/>
          </w:tcPr>
          <w:p>
            <w:pPr>
              <w:pStyle w:val="TableText"/>
            </w:pPr>
            <w:r>
              <w:t xml:space="preserve">Reconcile/adopt → risk / TI / clients</w:t>
            </w:r>
          </w:p>
        </w:tc>
        <w:tc>
          <w:tcPr>
            <w:tcW w:w="2300" w:type="dxa"/>
            <w:shd w:fill="F0F5F7"/>
          </w:tcPr>
          <w:p>
            <w:pPr>
              <w:pStyle w:val="TableText"/>
            </w:pPr>
            <w:r>
              <w:t xml:space="preserve">Managed lifecycle under scoped grants</w:t>
            </w:r>
          </w:p>
        </w:tc>
        <w:tc>
          <w:tcPr>
            <w:tcW w:w="3284" w:type="dxa"/>
            <w:shd w:fill="F0F5F7"/>
          </w:tcPr>
          <w:p>
            <w:pPr>
              <w:pStyle w:val="TableText"/>
            </w:pPr>
            <w:r>
              <w:t xml:space="preserve">Stable account/position ID, origin and revisions; no live broker call in replay.</w:t>
            </w:r>
          </w:p>
        </w:tc>
      </w:tr>
      <w:tr>
        <w:trPr>
          <w:cantSplit/>
        </w:trPr>
        <w:tc>
          <w:tcPr>
            <w:tcW w:w="2100" w:type="dxa"/>
            <w:shd w:fill="FFFFFF"/>
          </w:tcPr>
          <w:p>
            <w:pPr>
              <w:pStyle w:val="TableText"/>
            </w:pPr>
            <w:r>
              <w:t xml:space="preserve">MonitoringMandate</w:t>
            </w:r>
            <w:r>
              <w:br/>
              <w:t xml:space="preserve">TI after admission</w:t>
            </w:r>
          </w:p>
        </w:tc>
        <w:tc>
          <w:tcPr>
            <w:tcW w:w="2350" w:type="dxa"/>
            <w:shd w:fill="FFFFFF"/>
          </w:tcPr>
          <w:p>
            <w:pPr>
              <w:pStyle w:val="TableText"/>
            </w:pPr>
            <w:r>
              <w:t xml:space="preserve">Subscriber intent → TI runtime</w:t>
            </w:r>
          </w:p>
        </w:tc>
        <w:tc>
          <w:tcPr>
            <w:tcW w:w="2300" w:type="dxa"/>
            <w:shd w:fill="FFFFFF"/>
          </w:tcPr>
          <w:p>
            <w:pPr>
              <w:pStyle w:val="TableText"/>
            </w:pPr>
            <w:r>
              <w:t xml:space="preserve">Bounded intelligence only</w:t>
            </w:r>
          </w:p>
        </w:tc>
        <w:tc>
          <w:tcPr>
            <w:tcW w:w="3284" w:type="dxa"/>
            <w:shd w:fill="FFFFFF"/>
          </w:tcPr>
          <w:p>
            <w:pPr>
              <w:pStyle w:val="TableText"/>
            </w:pPr>
            <w:r>
              <w:t xml:space="preserve">Admitted revisions + lifecycle; retain original A5 intent if supplied.</w:t>
            </w:r>
          </w:p>
        </w:tc>
      </w:tr>
      <w:tr>
        <w:trPr>
          <w:cantSplit/>
        </w:trPr>
        <w:tc>
          <w:tcPr>
            <w:tcW w:w="2100" w:type="dxa"/>
            <w:shd w:fill="F0F5F7"/>
          </w:tcPr>
          <w:p>
            <w:pPr>
              <w:pStyle w:val="TableText"/>
            </w:pPr>
            <w:r>
              <w:t xml:space="preserve">MonitoringResult</w:t>
            </w:r>
            <w:r>
              <w:br/>
              <w:t xml:space="preserve">TI</w:t>
            </w:r>
          </w:p>
        </w:tc>
        <w:tc>
          <w:tcPr>
            <w:tcW w:w="2350" w:type="dxa"/>
            <w:shd w:fill="F0F5F7"/>
          </w:tcPr>
          <w:p>
            <w:pPr>
              <w:pStyle w:val="TableText"/>
            </w:pPr>
            <w:r>
              <w:t xml:space="preserve">Capability run → subscribers / TM</w:t>
            </w:r>
          </w:p>
        </w:tc>
        <w:tc>
          <w:tcPr>
            <w:tcW w:w="2300" w:type="dxa"/>
            <w:shd w:fill="F0F5F7"/>
          </w:tcPr>
          <w:p>
            <w:pPr>
              <w:pStyle w:val="TableText"/>
            </w:pPr>
            <w:r>
              <w:t xml:space="preserve">Advisory, never permission</w:t>
            </w:r>
          </w:p>
        </w:tc>
        <w:tc>
          <w:tcPr>
            <w:tcW w:w="3284" w:type="dxa"/>
            <w:shd w:fill="F0F5F7"/>
          </w:tcPr>
          <w:p>
            <w:pPr>
              <w:pStyle w:val="TableText"/>
            </w:pPr>
            <w:r>
              <w:t xml:space="preserve">Mandate/run/attempt/input/policy/usage links; offline replay, no reacquisition.</w:t>
            </w:r>
          </w:p>
        </w:tc>
      </w:tr>
    </w:tbl>
    <w:p>
      <w:pPr>
        <w:pStyle w:val="Spacer"/>
      </w:pPr>
      <w:r>
        <w:t xml:space="preserve"/>
      </w:r>
    </w:p>
    <w:p>
      <w:pPr>
        <w:pStyle w:val="Normal"/>
      </w:pPr>
      <w:r>
        <w:t xml:space="preserve">Each owner persists its records and cross-links; a shared database is not required. Retention must respect rights and safety. Active actions, unknown outcomes and unresolved usage cannot disappear before reconciliation. Exact durations, storage engine and export protocols remain implementation gates.</w:t>
      </w:r>
    </w:p>
    <w:p>
      <w:pPr>
        <w:pStyle w:val="Source"/>
      </w:pPr>
      <w:r>
        <w:t xml:space="preserve">READ WITH  Ecosystem §5; Monitoring §§10–11</w:t>
      </w:r>
    </w:p>
    <w:p>
      <w:pPr>
        <w:pStyle w:val="Eyebrow"/>
        <w:pageBreakBefore/>
      </w:pPr>
      <w:r>
        <w:t xml:space="preserve">CHAPTER II  /  CHAPTER DIVIDER</w:t>
      </w:r>
    </w:p>
    <w:p>
      <w:pPr>
        <w:pStyle w:val="Heading1"/>
      </w:pPr>
      <w:r>
        <w:t xml:space="preserve">Handoffs that preserve authority</w:t>
      </w:r>
    </w:p>
    <w:p>
      <w:pPr>
        <w:pStyle w:val="Lead"/>
      </w:pPr>
      <w:r>
        <w:t xml:space="preserve">An end-to-end sequence is a chain of checks—not a green-light cascade.</w:t>
      </w:r>
    </w:p>
    <w:p>
      <w:pPr>
        <w:jc w:val="center"/>
        <w:keepNext/>
      </w:pPr>
      <w:r>
        <w:drawing>
          <wp:inline distT="0" distB="0" distL="0" distR="0">
            <wp:extent cx="6327648" cy="2144369"/>
            <wp:docPr id="13" name="Figure 13" descr="Chapter II asks about evidence before entry, action-time authority, observed execution and bounded reevaluation."/>
            <a:graphic>
              <a:graphicData uri="http://schemas.openxmlformats.org/drawingml/2006/picture">
                <pic:pic>
                  <pic:nvPicPr>
                    <pic:cNvPr id="0" name="part2.png" descr="Chapter II asks about evidence before entry, action-time authority, observed execution and bounded reevaluation."/>
                    <pic:cNvPicPr/>
                  </pic:nvPicPr>
                  <pic:blipFill>
                    <a:blip r:embed="rIdImg13"/>
                    <a:stretch>
                      <a:fillRect/>
                    </a:stretch>
                  </pic:blipFill>
                  <pic:spPr>
                    <a:xfrm>
                      <a:off x="0" y="0"/>
                      <a:ext cx="6327648" cy="2144369"/>
                    </a:xfrm>
                    <a:prstGeom prst="rect">
                      <a:avLst/>
                    </a:prstGeom>
                  </pic:spPr>
                </pic:pic>
              </a:graphicData>
            </a:graphic>
          </wp:inline>
        </w:drawing>
      </w:r>
    </w:p>
    <w:p>
      <w:pPr>
        <w:pStyle w:val="Caption"/>
      </w:pPr>
      <w:r>
        <w:t xml:space="preserve">Figure 13. The question changes at every handoff.</w:t>
      </w:r>
    </w:p>
    <w:p>
      <w:pPr>
        <w:pStyle w:val="Callout"/>
      </w:pPr>
      <w:r>
        <w:t xml:space="preserve">TI advises on meaning. TM decides under authority. A6 expression quality cannot replace TM’s capital, quantity or account checks.</w:t>
      </w:r>
    </w:p>
    <w:p>
      <w:pPr>
        <w:pStyle w:val="Normal"/>
      </w:pPr>
      <w:r>
        <w:t xml:space="preserve">Future integration must demonstrate the complete trace, including blocked, partial and unknown outcomes. Successful-looking examples are insufficient if the same path becomes permissive under timeout or stale evidence.</w:t>
      </w:r>
    </w:p>
    <w:p>
      <w:pPr>
        <w:pStyle w:val="Eyebrow"/>
        <w:pageBreakBefore/>
      </w:pPr>
      <w:r>
        <w:t xml:space="preserve">II • BEFORE ENTRY  /  ACCEPTED DESIGN</w:t>
      </w:r>
    </w:p>
    <w:p>
      <w:pPr>
        <w:pStyle w:val="Heading1"/>
      </w:pPr>
      <w:r>
        <w:t xml:space="preserve">Scanner → TI → A6 → TM → Broker</w:t>
      </w:r>
    </w:p>
    <w:p>
      <w:pPr>
        <w:jc w:val="center"/>
        <w:keepNext/>
      </w:pPr>
      <w:r>
        <w:drawing>
          <wp:inline distT="0" distB="0" distL="0" distR="0">
            <wp:extent cx="6327648" cy="3283346"/>
            <wp:docPr id="14" name="Figure 14" descr="Sequence: scanner requests TI evaluation, TI returns a result, future A6 evaluates a supported expression, TM binds candidate and TI inputs, TM alone dispatches, broker returns truth."/>
            <a:graphic>
              <a:graphicData uri="http://schemas.openxmlformats.org/drawingml/2006/picture">
                <pic:pic>
                  <pic:nvPicPr>
                    <pic:cNvPr id="0" name="preexecution.png" descr="Sequence: scanner requests TI evaluation, TI returns a result, future A6 evaluates a supported expression, TM binds candidate and TI inputs, TM alone dispatches, broker returns truth."/>
                    <pic:cNvPicPr/>
                  </pic:nvPicPr>
                  <pic:blipFill>
                    <a:blip r:embed="rIdImg14"/>
                    <a:stretch>
                      <a:fillRect/>
                    </a:stretch>
                  </pic:blipFill>
                  <pic:spPr>
                    <a:xfrm>
                      <a:off x="0" y="0"/>
                      <a:ext cx="6327648" cy="3283346"/>
                    </a:xfrm>
                    <a:prstGeom prst="rect">
                      <a:avLst/>
                    </a:prstGeom>
                  </pic:spPr>
                </pic:pic>
              </a:graphicData>
            </a:graphic>
          </wp:inline>
        </w:drawing>
      </w:r>
    </w:p>
    <w:p>
      <w:pPr>
        <w:pStyle w:val="Caption"/>
      </w:pPr>
      <w:r>
        <w:t xml:space="preserve">Figure 14. A6 is future; TI and source artifacts remain separately pinned.</w:t>
      </w:r>
    </w:p>
    <w:p>
      <w:pPr>
        <w:pStyle w:val="Normal"/>
      </w:pPr>
      <w:r>
        <w:t xml:space="preserve">TM may intake a candidate before evaluation finishes. What matters is the approval boundary: required intelligence must satisfy the exact declared policy before entry. The sequence does not imply every source invokes A6 directly, nor does it publish a remote API. Today’s captured-read facade cannot serve as proof of fresh live validation.</w:t>
      </w:r>
    </w:p>
    <w:p>
      <w:pPr>
        <w:pStyle w:val="Callout"/>
      </w:pPr>
      <w:r>
        <w:t xml:space="preserve">SUPPORTIVE → expression consideration. Not SUPPORTIVE → order.</w:t>
      </w:r>
    </w:p>
    <w:p>
      <w:pPr>
        <w:pStyle w:val="Source"/>
      </w:pPr>
      <w:r>
        <w:t xml:space="preserve">READ WITH  Ecosystem §§6–7; current facade boundary in §1</w:t>
      </w:r>
    </w:p>
    <w:p>
      <w:pPr>
        <w:pStyle w:val="Eyebrow"/>
        <w:pageBreakBefore/>
      </w:pPr>
      <w:r>
        <w:t xml:space="preserve">II • BEFORE ENTRY  /  FUTURE</w:t>
      </w:r>
    </w:p>
    <w:p>
      <w:pPr>
        <w:pStyle w:val="Heading1"/>
      </w:pPr>
      <w:r>
        <w:t xml:space="preserve">The A6 boundary</w:t>
      </w:r>
    </w:p>
    <w:p>
      <w:pPr>
        <w:jc w:val="center"/>
        <w:keepNext/>
      </w:pPr>
      <w:r>
        <w:drawing>
          <wp:inline distT="0" distB="0" distL="0" distR="0">
            <wp:extent cx="6327648" cy="2249830"/>
            <wp:docPr id="15" name="Figure 15" descr="A6 is limited to future accepted single-leg CE/PE evaluation. Source proposals, TI analytical results and TM operational decisions remain separate."/>
            <a:graphic>
              <a:graphicData uri="http://schemas.openxmlformats.org/drawingml/2006/picture">
                <pic:pic>
                  <pic:nvPicPr>
                    <pic:cNvPr id="0" name="a6-boundary.png" descr="A6 is limited to future accepted single-leg CE/PE evaluation. Source proposals, TI analytical results and TM operational decisions remain separate."/>
                    <pic:cNvPicPr/>
                  </pic:nvPicPr>
                  <pic:blipFill>
                    <a:blip r:embed="rIdImg15"/>
                    <a:stretch>
                      <a:fillRect/>
                    </a:stretch>
                  </pic:blipFill>
                  <pic:spPr>
                    <a:xfrm>
                      <a:off x="0" y="0"/>
                      <a:ext cx="6327648" cy="2249830"/>
                    </a:xfrm>
                    <a:prstGeom prst="rect">
                      <a:avLst/>
                    </a:prstGeom>
                  </pic:spPr>
                </pic:pic>
              </a:graphicData>
            </a:graphic>
          </wp:inline>
        </w:drawing>
      </w:r>
    </w:p>
    <w:p>
      <w:pPr>
        <w:pStyle w:val="Caption"/>
      </w:pPr>
      <w:r>
        <w:t xml:space="preserve">Figure 15. A6 answers “which supported expression?”, not “may this account trade?”.</w:t>
      </w:r>
    </w:p>
    <w:p>
      <w:pPr>
        <w:pStyle w:val="Normal"/>
      </w:pPr>
      <w:r>
        <w:t xml:space="preserve">A6 may compare admitted expiry/strike/moneyness, liquidity, IV/Greeks and accepted constraints. It may return NO_OPTION_TRADE. Exact eligible instruments, exposure side permissions, orderability rules and thresholds require separate acceptance. No spread optimizer, hedge/roll engine or naked-short permission is implied.</w:t>
      </w:r>
    </w:p>
    <w:p>
      <w:pPr>
        <w:pStyle w:val="Normal"/>
      </w:pPr>
      <w:r>
        <w:t xml:space="preserve">A cash or future proposal can use an independently approved TI/TM path; it must not pretend options-only A6 endorsed it. No probability-of-profit or expected-move forecast is fabricated to fill missing evidence.</w:t>
      </w:r>
    </w:p>
    <w:p>
      <w:pPr>
        <w:pStyle w:val="Source"/>
      </w:pPr>
      <w:r>
        <w:t xml:space="preserve">READ WITH  Ecosystem §6; authoritative roadmap A6/A7</w:t>
      </w:r>
    </w:p>
    <w:p>
      <w:pPr>
        <w:pStyle w:val="Eyebrow"/>
        <w:pageBreakBefore/>
      </w:pPr>
      <w:r>
        <w:t xml:space="preserve">II • BEFORE ENTRY  /  ACCEPTED DESIGN</w:t>
      </w:r>
    </w:p>
    <w:p>
      <w:pPr>
        <w:pStyle w:val="Heading1"/>
      </w:pPr>
      <w:r>
        <w:t xml:space="preserve">Required scope cannot disappear</w:t>
      </w:r>
    </w:p>
    <w:p>
      <w:pPr>
        <w:jc w:val="center"/>
        <w:keepNext/>
      </w:pPr>
      <w:r>
        <w:drawing>
          <wp:inline distT="0" distB="0" distL="0" distR="0">
            <wp:extent cx="6327648" cy="1318260"/>
            <wp:docPr id="16" name="Figure 16" descr="Two TM modes: TI_REQUIRED blocks when required checks are absent or unacceptable; TI_OPTIONAL permits only independently authorized paths with explicit not-validated status."/>
            <a:graphic>
              <a:graphicData uri="http://schemas.openxmlformats.org/drawingml/2006/picture">
                <pic:pic>
                  <pic:nvPicPr>
                    <pic:cNvPr id="0" name="policy-modes.png" descr="Two TM modes: TI_REQUIRED blocks when required checks are absent or unacceptable; TI_OPTIONAL permits only independently authorized paths with explicit not-validated status."/>
                    <pic:cNvPicPr/>
                  </pic:nvPicPr>
                  <pic:blipFill>
                    <a:blip r:embed="rIdImg16"/>
                    <a:stretch>
                      <a:fillRect/>
                    </a:stretch>
                  </pic:blipFill>
                  <pic:spPr>
                    <a:xfrm>
                      <a:off x="0" y="0"/>
                      <a:ext cx="6327648" cy="1318260"/>
                    </a:xfrm>
                    <a:prstGeom prst="rect">
                      <a:avLst/>
                    </a:prstGeom>
                  </pic:spPr>
                </pic:pic>
              </a:graphicData>
            </a:graphic>
          </wp:inline>
        </w:drawing>
      </w:r>
    </w:p>
    <w:p>
      <w:pPr>
        <w:pStyle w:val="Caption"/>
      </w:pPr>
      <w:r>
        <w:t xml:space="preserve">Figure 16. Policy selects the mode before the request; an outage cannot select a weaker mode.</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5000"/>
        <w:gridCol w:w="5034"/>
      </w:tblGrid>
      <w:tr>
        <w:trPr>
          <w:cantSplit/>
          <w:tblHeader/>
        </w:trPr>
        <w:tc>
          <w:tcPr>
            <w:tcW w:w="5000" w:type="dxa"/>
            <w:shd w:fill="17324D"/>
          </w:tcPr>
          <w:p>
            <w:pPr>
              <w:pStyle w:val="TableHead"/>
            </w:pPr>
            <w:r>
              <w:t xml:space="preserve">Approval binds</w:t>
            </w:r>
          </w:p>
        </w:tc>
        <w:tc>
          <w:tcPr>
            <w:tcW w:w="5034" w:type="dxa"/>
            <w:shd w:fill="17324D"/>
          </w:tcPr>
          <w:p>
            <w:pPr>
              <w:pStyle w:val="TableHead"/>
            </w:pPr>
            <w:r>
              <w:t xml:space="preserve">Action-time recheck</w:t>
            </w:r>
          </w:p>
        </w:tc>
      </w:tr>
      <w:tr>
        <w:trPr>
          <w:cantSplit/>
        </w:trPr>
        <w:tc>
          <w:tcPr>
            <w:tcW w:w="5000" w:type="dxa"/>
            <w:shd w:fill="F0F5F7"/>
          </w:tcPr>
          <w:p>
            <w:pPr>
              <w:pStyle w:val="TableText"/>
            </w:pPr>
            <w:r>
              <w:t xml:space="preserve">Candidate revision / semantic digest; selected expression</w:t>
            </w:r>
          </w:p>
        </w:tc>
        <w:tc>
          <w:tcPr>
            <w:tcW w:w="5034" w:type="dxa"/>
            <w:shd w:fill="F0F5F7"/>
          </w:tcPr>
          <w:p>
            <w:pPr>
              <w:pStyle w:val="TableText"/>
            </w:pPr>
            <w:r>
              <w:t xml:space="preserve">Same proposal and approved parameter envelope; changed input requires revalidation</w:t>
            </w:r>
          </w:p>
        </w:tc>
      </w:tr>
      <w:tr>
        <w:trPr>
          <w:cantSplit/>
        </w:trPr>
        <w:tc>
          <w:tcPr>
            <w:tcW w:w="5000" w:type="dxa"/>
            <w:shd w:fill="FFFFFF"/>
          </w:tcPr>
          <w:p>
            <w:pPr>
              <w:pStyle w:val="TableText"/>
            </w:pPr>
            <w:r>
              <w:t xml:space="preserve">TI result/A4 IDs, hashes, evidence cutoff and expiry</w:t>
            </w:r>
          </w:p>
        </w:tc>
        <w:tc>
          <w:tcPr>
            <w:tcW w:w="5034" w:type="dxa"/>
            <w:shd w:fill="FFFFFF"/>
          </w:tcPr>
          <w:p>
            <w:pPr>
              <w:pStyle w:val="TableText"/>
            </w:pPr>
            <w:r>
              <w:t xml:space="preserve">Freshness and required completeness still acceptable; recorded veto not hidden</w:t>
            </w:r>
          </w:p>
        </w:tc>
      </w:tr>
      <w:tr>
        <w:trPr>
          <w:cantSplit/>
        </w:trPr>
        <w:tc>
          <w:tcPr>
            <w:tcW w:w="5000" w:type="dxa"/>
            <w:shd w:fill="F0F5F7"/>
          </w:tcPr>
          <w:p>
            <w:pPr>
              <w:pStyle w:val="TableText"/>
            </w:pPr>
            <w:r>
              <w:t xml:space="preserve">Actor / account / environment / grants / policy versions</w:t>
            </w:r>
          </w:p>
        </w:tc>
        <w:tc>
          <w:tcPr>
            <w:tcW w:w="5034" w:type="dxa"/>
            <w:shd w:fill="F0F5F7"/>
          </w:tcPr>
          <w:p>
            <w:pPr>
              <w:pStyle w:val="TableText"/>
            </w:pPr>
            <w:r>
              <w:t xml:space="preserve">Grant still valid; risk, capital and broker exposure/open orders current</w:t>
            </w:r>
          </w:p>
        </w:tc>
      </w:tr>
      <w:tr>
        <w:trPr>
          <w:cantSplit/>
        </w:trPr>
        <w:tc>
          <w:tcPr>
            <w:tcW w:w="5000" w:type="dxa"/>
            <w:shd w:fill="FFFFFF"/>
          </w:tcPr>
          <w:p>
            <w:pPr>
              <w:pStyle w:val="TableText"/>
            </w:pPr>
            <w:r>
              <w:t xml:space="preserve">Captured composition where available; parent links</w:t>
            </w:r>
          </w:p>
        </w:tc>
        <w:tc>
          <w:tcPr>
            <w:tcW w:w="5034" w:type="dxa"/>
            <w:shd w:fill="FFFFFF"/>
          </w:tcPr>
          <w:p>
            <w:pPr>
              <w:pStyle w:val="TableText"/>
            </w:pPr>
            <w:r>
              <w:t xml:space="preserve">COMPOSITION_UNAVAILABLE stays explicit; a strict composition requirement blocks</w:t>
            </w:r>
          </w:p>
        </w:tc>
      </w:tr>
    </w:tbl>
    <w:p>
      <w:pPr>
        <w:pStyle w:val="Spacer"/>
      </w:pPr>
      <w:r>
        <w:t xml:space="preserve"/>
      </w:r>
    </w:p>
    <w:p>
      <w:pPr>
        <w:pStyle w:val="Normal"/>
      </w:pPr>
      <w:r>
        <w:t xml:space="preserve">Missing optional enrichment need not block a complete required scope. Missing required capability remains part of completeness under R1. An unfavorable answer is not an outage; TI_OPTIONAL cannot relabel a known applicable veto as missing data.</w:t>
      </w:r>
    </w:p>
    <w:p>
      <w:pPr>
        <w:pStyle w:val="Source"/>
      </w:pPr>
      <w:r>
        <w:t xml:space="preserve">READ WITH  Ecosystem §7; TIAF_PLUGGABILITY_ARCHITECTURE.md; R1 accepted behavior</w:t>
      </w:r>
    </w:p>
    <w:p>
      <w:pPr>
        <w:pStyle w:val="Eyebrow"/>
        <w:pageBreakBefore/>
      </w:pPr>
      <w:r>
        <w:t xml:space="preserve">II • AFTER EXECUTION  /  ACCEPTED DESIGN + CURRENT A5</w:t>
      </w:r>
    </w:p>
    <w:p>
      <w:pPr>
        <w:pStyle w:val="Heading1"/>
      </w:pPr>
      <w:r>
        <w:t xml:space="preserve">The post-fill A5 monitoring loop</w:t>
      </w:r>
    </w:p>
    <w:p>
      <w:pPr>
        <w:jc w:val="center"/>
        <w:keepNext/>
      </w:pPr>
      <w:r>
        <w:drawing>
          <wp:inline distT="0" distB="0" distL="0" distR="0">
            <wp:extent cx="6327648" cy="3283346"/>
            <wp:docPr id="17" name="Figure 17" descr="Broker fill is reconciled by TM, which requests TI Monitoring. Accepted mandate invokes A5 on fresh inputs. Advice returns to TM for separate current risk/authority checks before any broker action."/>
            <a:graphic>
              <a:graphicData uri="http://schemas.openxmlformats.org/drawingml/2006/picture">
                <pic:pic>
                  <pic:nvPicPr>
                    <pic:cNvPr id="0" name="postfill.png" descr="Broker fill is reconciled by TM, which requests TI Monitoring. Accepted mandate invokes A5 on fresh inputs. Advice returns to TM for separate current risk/authority checks before any broker action."/>
                    <pic:cNvPicPr/>
                  </pic:nvPicPr>
                  <pic:blipFill>
                    <a:blip r:embed="rIdImg17"/>
                    <a:stretch>
                      <a:fillRect/>
                    </a:stretch>
                  </pic:blipFill>
                  <pic:spPr>
                    <a:xfrm>
                      <a:off x="0" y="0"/>
                      <a:ext cx="6327648" cy="3283346"/>
                    </a:xfrm>
                    <a:prstGeom prst="rect">
                      <a:avLst/>
                    </a:prstGeom>
                  </pic:spPr>
                </pic:pic>
              </a:graphicData>
            </a:graphic>
          </wp:inline>
        </w:drawing>
      </w:r>
    </w:p>
    <w:p>
      <w:pPr>
        <w:pStyle w:val="Caption"/>
      </w:pPr>
      <w:r>
        <w:t xml:space="preserve">Figure 17. Recurring dispatch is future; A5 advice is already a bounded, non-executable capability.</w:t>
      </w:r>
    </w:p>
    <w:p>
      <w:pPr>
        <w:pStyle w:val="Normal"/>
      </w:pPr>
      <w:r>
        <w:t xml:space="preserve">A5 can emit MAINTAIN, WATCH_CLOSELY, PROTECT, REDUCE_RISK, TRAIL_PROTECTION, EXIT_RECOMMENDED, WAIT_FOR_CONFIRMATION, ABSTAIN or INSUFFICIENT_EVIDENCE. These are recommendations, not order types. A stop/protection intention does not prove a protective broker order exists.</w:t>
      </w:r>
    </w:p>
    <w:p>
      <w:pPr>
        <w:pStyle w:val="Normal"/>
      </w:pPr>
      <w:r>
        <w:t xml:space="preserve">TM tracks what actually executed, including partial reductions and failures. A later A5 run consumes a new supplied operational snapshot; it does not mutate TM state or assume the earlier recommendation was implemented.</w:t>
      </w:r>
    </w:p>
    <w:p>
      <w:pPr>
        <w:pStyle w:val="Source"/>
      </w:pPr>
      <w:r>
        <w:t xml:space="preserve">READ WITH  Ecosystem §8; A5 architecture §§4–7; Monitoring §§5–8</w:t>
      </w:r>
    </w:p>
    <w:p>
      <w:pPr>
        <w:pStyle w:val="Eyebrow"/>
        <w:pageBreakBefore/>
      </w:pPr>
      <w:r>
        <w:t xml:space="preserve">II • RECURRING WORK  /  ACCEPTED DESIGN • RUNTIME FUTURE</w:t>
      </w:r>
    </w:p>
    <w:p>
      <w:pPr>
        <w:pStyle w:val="Heading1"/>
      </w:pPr>
      <w:r>
        <w:t xml:space="preserve">One mandate, five distinct clocks</w:t>
      </w:r>
    </w:p>
    <w:p>
      <w:pPr>
        <w:jc w:val="center"/>
        <w:keepNext/>
      </w:pPr>
      <w:r>
        <w:drawing>
          <wp:inline distT="0" distB="0" distL="0" distR="0">
            <wp:extent cx="6327648" cy="2865018"/>
            <wp:docPr id="18" name="Figure 18" descr="Six cards distinguish five mandate timing/bounding dimensions and the advisory nature of A5 monitoring hints."/>
            <a:graphic>
              <a:graphicData uri="http://schemas.openxmlformats.org/drawingml/2006/picture">
                <pic:pic>
                  <pic:nvPicPr>
                    <pic:cNvPr id="0" name="clocks.png" descr="Six cards distinguish five mandate timing/bounding dimensions and the advisory nature of A5 monitoring hints."/>
                    <pic:cNvPicPr/>
                  </pic:nvPicPr>
                  <pic:blipFill>
                    <a:blip r:embed="rIdImg18"/>
                    <a:stretch>
                      <a:fillRect/>
                    </a:stretch>
                  </pic:blipFill>
                  <pic:spPr>
                    <a:xfrm>
                      <a:off x="0" y="0"/>
                      <a:ext cx="6327648" cy="2865018"/>
                    </a:xfrm>
                    <a:prstGeom prst="rect">
                      <a:avLst/>
                    </a:prstGeom>
                  </pic:spPr>
                </pic:pic>
              </a:graphicData>
            </a:graphic>
          </wp:inline>
        </w:drawing>
      </w:r>
    </w:p>
    <w:p>
      <w:pPr>
        <w:pStyle w:val="Caption"/>
      </w:pPr>
      <w:r>
        <w:t xml:space="preserve">Figure 18. Horizon is not cadence; a finite lifetime does not specify a run count.</w:t>
      </w:r>
    </w:p>
    <w:p>
      <w:pPr>
        <w:pStyle w:val="Normal"/>
      </w:pPr>
      <w:r>
        <w:t xml:space="preserve">A subscriber submits intent; TI admits or rejects a bounded mandate against identity, rights, profile, capabilities, budgets and capacity. A watchlist is optional organization. One instrument may carry multiple mandates with different purposes, horizons and rights.</w:t>
      </w:r>
    </w:p>
    <w:p>
      <w:pPr>
        <w:pStyle w:val="Normal"/>
      </w:pPr>
      <w:r>
        <w:t xml:space="preserve">The planned local runtime uses bounded due slots and a single writer, with at-least-once delivery and idempotent logical run IDs. Retries retain separate attempts. Missed slots may be coalesced under accepted policy; no backdated “fresh” result or silent lifetime renewal is allowed. Unknown attempt cost remains unknown and conservatively reserved.</w:t>
      </w:r>
    </w:p>
    <w:p>
      <w:pPr>
        <w:pStyle w:val="Source"/>
      </w:pPr>
      <w:r>
        <w:t xml:space="preserve">READ WITH  TIAF_MONITORING_ARCHITECTURE.md §§3–8,10–11</w:t>
      </w:r>
    </w:p>
    <w:p>
      <w:pPr>
        <w:pStyle w:val="Eyebrow"/>
        <w:pageBreakBefore/>
      </w:pPr>
      <w:r>
        <w:t xml:space="preserve">II • REUSE  /  ACCEPTED DESIGN</w:t>
      </w:r>
    </w:p>
    <w:p>
      <w:pPr>
        <w:pStyle w:val="Heading1"/>
      </w:pPr>
      <w:r>
        <w:t xml:space="preserve">Shared evidence, separate analysis</w:t>
      </w:r>
    </w:p>
    <w:p>
      <w:pPr>
        <w:jc w:val="center"/>
        <w:keepNext/>
      </w:pPr>
      <w:r>
        <w:drawing>
          <wp:inline distT="0" distB="0" distL="0" distR="0">
            <wp:extent cx="6327648" cy="3339592"/>
            <wp:docPr id="19" name="Figure 19" descr="A compatible evidence snapshot fans out to three separate mandates: intraday WAIT, positional SUPPORTIVE and an open-position PROTECT recommendation. These illustrative conclusions are not merged."/>
            <a:graphic>
              <a:graphicData uri="http://schemas.openxmlformats.org/drawingml/2006/picture">
                <pic:pic>
                  <pic:nvPicPr>
                    <pic:cNvPr id="0" name="sharing.png" descr="A compatible evidence snapshot fans out to three separate mandates: intraday WAIT, positional SUPPORTIVE and an open-position PROTECT recommendation. These illustrative conclusions are not merged."/>
                    <pic:cNvPicPr/>
                  </pic:nvPicPr>
                  <pic:blipFill>
                    <a:blip r:embed="rIdImg19"/>
                    <a:stretch>
                      <a:fillRect/>
                    </a:stretch>
                  </pic:blipFill>
                  <pic:spPr>
                    <a:xfrm>
                      <a:off x="0" y="0"/>
                      <a:ext cx="6327648" cy="3339592"/>
                    </a:xfrm>
                    <a:prstGeom prst="rect">
                      <a:avLst/>
                    </a:prstGeom>
                  </pic:spPr>
                </pic:pic>
              </a:graphicData>
            </a:graphic>
          </wp:inline>
        </w:drawing>
      </w:r>
    </w:p>
    <w:p>
      <w:pPr>
        <w:pStyle w:val="Caption"/>
      </w:pPr>
      <w:r>
        <w:t xml:space="preserve">Figure 19. The same KAYNES evidence can support different scoped conclusions.</w:t>
      </w:r>
    </w:p>
    <w:p>
      <w:pPr>
        <w:pStyle w:val="Normal"/>
      </w:pPr>
      <w:r>
        <w:t xml:space="preserve">A safe evidence reuse key includes instrument/venue, provider and account entitlements, requested fields, basis, adapter/schema/policy versions, point-in-time cutoff, availability and each consumer’s freshness. Unknown dimensions are not wildcards. Access rights must still hold when returning a cached item.</w:t>
      </w:r>
    </w:p>
    <w:p>
      <w:pPr>
        <w:pStyle w:val="Normal"/>
      </w:pPr>
      <w:r>
        <w:t xml:space="preserve">Analysis state also depends on purpose, horizon, position, policy and subscriber intent. It is not safe to copy APP 2’s supportive thesis into APP 1’s intraday request merely because the instrument matches. Nor should shared source material be counted twice as independent corroboration.</w:t>
      </w:r>
    </w:p>
    <w:p>
      <w:pPr>
        <w:pStyle w:val="Callout"/>
      </w:pPr>
      <w:r>
        <w:t xml:space="preserve">Deduplicate evidence, not intent. Reuse is an optimization of compatible work—not a merge of meaning.</w:t>
      </w:r>
    </w:p>
    <w:p>
      <w:pPr>
        <w:pStyle w:val="Source"/>
      </w:pPr>
      <w:r>
        <w:t xml:space="preserve">READ WITH  Monitoring §9; source-authority architecture; ecosystem §§3,8</w:t>
      </w:r>
    </w:p>
    <w:p>
      <w:pPr>
        <w:pStyle w:val="Eyebrow"/>
        <w:pageBreakBefore/>
      </w:pPr>
      <w:r>
        <w:t xml:space="preserve">II • WORKLOAD  /  ILLUSTRATIVE CHART</w:t>
      </w:r>
    </w:p>
    <w:p>
      <w:pPr>
        <w:pStyle w:val="Heading1"/>
      </w:pPr>
      <w:r>
        <w:t xml:space="preserve">A day in the life of shared evidence</w:t>
      </w:r>
    </w:p>
    <w:p>
      <w:pPr>
        <w:jc w:val="center"/>
        <w:keepNext/>
      </w:pPr>
      <w:r>
        <w:drawing>
          <wp:inline distT="0" distB="0" distL="0" distR="0">
            <wp:extent cx="6327648" cy="3339592"/>
            <wp:docPr id="20" name="Figure 20" descr="Illustrative bars: 183 unshared acquisitions, 112 compatible acquisition groups, and 183 separate analyses retained. Seven apps, fourteen watchlists and ninety-six instruments produce seventy-one avoided repeated acquisitions, 38.8 percent."/>
            <a:graphic>
              <a:graphicData uri="http://schemas.openxmlformats.org/drawingml/2006/picture">
                <pic:pic>
                  <pic:nvPicPr>
                    <pic:cNvPr id="0" name="workload.png" descr="Illustrative bars: 183 unshared acquisitions, 112 compatible acquisition groups, and 183 separate analyses retained. Seven apps, fourteen watchlists and ninety-six instruments produce seventy-one avoided repeated acquisitions, 38.8 percent."/>
                    <pic:cNvPicPr/>
                  </pic:nvPicPr>
                  <pic:blipFill>
                    <a:blip r:embed="rIdImg20"/>
                    <a:stretch>
                      <a:fillRect/>
                    </a:stretch>
                  </pic:blipFill>
                  <pic:spPr>
                    <a:xfrm>
                      <a:off x="0" y="0"/>
                      <a:ext cx="6327648" cy="3339592"/>
                    </a:xfrm>
                    <a:prstGeom prst="rect">
                      <a:avLst/>
                    </a:prstGeom>
                  </pic:spPr>
                </pic:pic>
              </a:graphicData>
            </a:graphic>
          </wp:inline>
        </w:drawing>
      </w:r>
    </w:p>
    <w:p>
      <w:pPr>
        <w:pStyle w:val="Caption"/>
      </w:pPr>
      <w:r>
        <w:t xml:space="preserve">Figure 20. A constructed one-round workload; acquisition savings do not reduce intent count.</w:t>
      </w:r>
    </w:p>
    <w:p>
      <w:pPr>
        <w:pStyle w:val="Normal"/>
      </w:pPr>
      <w:r>
        <w:t xml:space="preserve">Assume all 183 active intents require one comparable evidence family in this round. Ninety-six instruments do not guarantee ninety-six safe acquisitions: entitlement and freshness boundaries split some instruments into multiple groups. For teaching, suppose this produces 112 compatible groups. Then 183 − 112 = 71 repeated acquisitions can be avoided.</w:t>
      </w:r>
    </w:p>
    <w:p>
      <w:pPr>
        <w:pStyle w:val="Normal"/>
      </w:pPr>
      <w:r>
        <w:t xml:space="preserve">This arithmetic does not measure deployment throughput, latency, cost or provider savings. A real workload contains multiple evidence families, cache misses, changing rights and refresh windows. The 183 purpose-specific analyses remain separate even when they share an admitted input snapshot.</w:t>
      </w:r>
    </w:p>
    <w:p>
      <w:pPr>
        <w:pStyle w:val="Callout"/>
      </w:pPr>
      <w:r>
        <w:t xml:space="preserve">Fewer fetches does not mean fewer responsibilities.</w:t>
      </w:r>
    </w:p>
    <w:p>
      <w:pPr>
        <w:pStyle w:val="Source"/>
      </w:pPr>
      <w:r>
        <w:t xml:space="preserve">READ WITH  Monitoring §§9,11; ecosystem profiles and budgets</w:t>
      </w:r>
    </w:p>
    <w:p>
      <w:pPr>
        <w:pStyle w:val="Eyebrow"/>
        <w:pageBreakBefore/>
      </w:pPr>
      <w:r>
        <w:t xml:space="preserve">II • BOUNDED WORK  /  ILLUSTRATIVE CHART + ACCEPTED DESIGN</w:t>
      </w:r>
    </w:p>
    <w:p>
      <w:pPr>
        <w:pStyle w:val="Heading1"/>
      </w:pPr>
      <w:r>
        <w:t xml:space="preserve">Latency and cost are policy dimensions</w:t>
      </w:r>
    </w:p>
    <w:p>
      <w:pPr>
        <w:jc w:val="center"/>
        <w:keepNext/>
      </w:pPr>
      <w:r>
        <w:drawing>
          <wp:inline distT="0" distB="0" distL="0" distR="0">
            <wp:extent cx="6327648" cy="2917748"/>
            <wp:docPr id="21" name="Figure 21" descr="Four illustrative budget indices: FAST_INTRADAY one, NORMAL_INTRADAY two, POSITIONAL four and DEEP_RESEARCH eight. These invented relative units are neither cost nor latency measurements."/>
            <a:graphic>
              <a:graphicData uri="http://schemas.openxmlformats.org/drawingml/2006/picture">
                <pic:pic>
                  <pic:nvPicPr>
                    <pic:cNvPr id="0" name="profiles.png" descr="Four illustrative budget indices: FAST_INTRADAY one, NORMAL_INTRADAY two, POSITIONAL four and DEEP_RESEARCH eight. These invented relative units are neither cost nor latency measurements."/>
                    <pic:cNvPicPr/>
                  </pic:nvPicPr>
                  <pic:blipFill>
                    <a:blip r:embed="rIdImg21"/>
                    <a:stretch>
                      <a:fillRect/>
                    </a:stretch>
                  </pic:blipFill>
                  <pic:spPr>
                    <a:xfrm>
                      <a:off x="0" y="0"/>
                      <a:ext cx="6327648" cy="2917748"/>
                    </a:xfrm>
                    <a:prstGeom prst="rect">
                      <a:avLst/>
                    </a:prstGeom>
                  </pic:spPr>
                </pic:pic>
              </a:graphicData>
            </a:graphic>
          </wp:inline>
        </w:drawing>
      </w:r>
    </w:p>
    <w:p>
      <w:pPr>
        <w:pStyle w:val="Caption"/>
      </w:pPr>
      <w:r>
        <w:t xml:space="preserve">Figure 21. Conceptual resource envelopes, not runtime defaults or measured performance.</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4000"/>
        <w:gridCol w:w="6034"/>
      </w:tblGrid>
      <w:tr>
        <w:trPr>
          <w:cantSplit/>
          <w:tblHeader/>
        </w:trPr>
        <w:tc>
          <w:tcPr>
            <w:tcW w:w="4000" w:type="dxa"/>
            <w:shd w:fill="17324D"/>
          </w:tcPr>
          <w:p>
            <w:pPr>
              <w:pStyle w:val="TableHead"/>
            </w:pPr>
            <w:r>
              <w:t xml:space="preserve">Each versioned profile declares</w:t>
            </w:r>
          </w:p>
        </w:tc>
        <w:tc>
          <w:tcPr>
            <w:tcW w:w="6034" w:type="dxa"/>
            <w:shd w:fill="17324D"/>
          </w:tcPr>
          <w:p>
            <w:pPr>
              <w:pStyle w:val="TableHead"/>
            </w:pPr>
            <w:r>
              <w:t xml:space="preserve">Why it matters</w:t>
            </w:r>
          </w:p>
        </w:tc>
      </w:tr>
      <w:tr>
        <w:trPr>
          <w:cantSplit/>
        </w:trPr>
        <w:tc>
          <w:tcPr>
            <w:tcW w:w="4000" w:type="dxa"/>
            <w:shd w:fill="F0F5F7"/>
          </w:tcPr>
          <w:p>
            <w:pPr>
              <w:pStyle w:val="TableText"/>
            </w:pPr>
            <w:r>
              <w:t xml:space="preserve">Required / optional intelligence</w:t>
            </w:r>
          </w:p>
        </w:tc>
        <w:tc>
          <w:tcPr>
            <w:tcW w:w="6034" w:type="dxa"/>
            <w:shd w:fill="F0F5F7"/>
          </w:tcPr>
          <w:p>
            <w:pPr>
              <w:pStyle w:val="TableText"/>
            </w:pPr>
            <w:r>
              <w:t xml:space="preserve">A deadline can drop optional work only under policy; required scope is never silently shrunk.</w:t>
            </w:r>
          </w:p>
        </w:tc>
      </w:tr>
      <w:tr>
        <w:trPr>
          <w:cantSplit/>
        </w:trPr>
        <w:tc>
          <w:tcPr>
            <w:tcW w:w="4000" w:type="dxa"/>
            <w:shd w:fill="FFFFFF"/>
          </w:tcPr>
          <w:p>
            <w:pPr>
              <w:pStyle w:val="TableText"/>
            </w:pPr>
            <w:r>
              <w:t xml:space="preserve">Freshness + deadline</w:t>
            </w:r>
          </w:p>
        </w:tc>
        <w:tc>
          <w:tcPr>
            <w:tcW w:w="6034" w:type="dxa"/>
            <w:shd w:fill="FFFFFF"/>
          </w:tcPr>
          <w:p>
            <w:pPr>
              <w:pStyle w:val="TableText"/>
            </w:pPr>
            <w:r>
              <w:t xml:space="preserve">Input age and completion time are different constraints; stale success is not fresh success.</w:t>
            </w:r>
          </w:p>
        </w:tc>
      </w:tr>
      <w:tr>
        <w:trPr>
          <w:cantSplit/>
        </w:trPr>
        <w:tc>
          <w:tcPr>
            <w:tcW w:w="4000" w:type="dxa"/>
            <w:shd w:fill="F0F5F7"/>
          </w:tcPr>
          <w:p>
            <w:pPr>
              <w:pStyle w:val="TableText"/>
            </w:pPr>
            <w:r>
              <w:t xml:space="preserve">Budget + failure behavior</w:t>
            </w:r>
          </w:p>
        </w:tc>
        <w:tc>
          <w:tcPr>
            <w:tcW w:w="6034" w:type="dxa"/>
            <w:shd w:fill="F0F5F7"/>
          </w:tcPr>
          <w:p>
            <w:pPr>
              <w:pStyle w:val="TableText"/>
            </w:pPr>
            <w:r>
              <w:t xml:space="preserve">Bound acquisition/model/attempt costs; return explicit partial/blocked outcomes.</w:t>
            </w:r>
          </w:p>
        </w:tc>
      </w:tr>
    </w:tbl>
    <w:p>
      <w:pPr>
        <w:pStyle w:val="Spacer"/>
      </w:pPr>
      <w:r>
        <w:t xml:space="preserve"/>
      </w:r>
    </w:p>
    <w:p>
      <w:pPr>
        <w:pStyle w:val="Normal"/>
      </w:pPr>
      <w:r>
        <w:t xml:space="preserve">FAST_INTRADAY, NORMAL_INTRADAY, POSITIONAL and DEEP_RESEARCH name conceptual usage profiles. No numeric SLA is promised here. Real latency would include acquisition, queueing, execution and retries; real cost needs observable usage. Unknown usage is not zero, and a budget exhaustion cannot be made invisible by excluding an attempted call.</w:t>
      </w:r>
    </w:p>
    <w:p>
      <w:pPr>
        <w:pStyle w:val="Source"/>
      </w:pPr>
      <w:r>
        <w:t xml:space="preserve">READ WITH  Ecosystem §12; Monitoring §11</w:t>
      </w:r>
    </w:p>
    <w:p>
      <w:pPr>
        <w:pStyle w:val="Eyebrow"/>
        <w:pageBreakBefore/>
      </w:pPr>
      <w:r>
        <w:t xml:space="preserve">II • ADOPTION  /  ACCEPTED DESIGN</w:t>
      </w:r>
    </w:p>
    <w:p>
      <w:pPr>
        <w:pStyle w:val="Heading1"/>
      </w:pPr>
      <w:r>
        <w:t xml:space="preserve">A broker position is not yet a managed position</w:t>
      </w:r>
    </w:p>
    <w:p>
      <w:pPr>
        <w:jc w:val="center"/>
        <w:keepNext/>
      </w:pPr>
      <w:r>
        <w:drawing>
          <wp:inline distT="0" distB="0" distL="0" distR="0">
            <wp:extent cx="6327648" cy="2408021"/>
            <wp:docPr id="22" name="Figure 22" descr="External exposure enters TM as unmanaged, requires explicit authenticated adoption with current broker truth, and may then request TI monitoring without fabricating a thesis."/>
            <a:graphic>
              <a:graphicData uri="http://schemas.openxmlformats.org/drawingml/2006/picture">
                <pic:pic>
                  <pic:nvPicPr>
                    <pic:cNvPr id="0" name="adoption.png" descr="External exposure enters TM as unmanaged, requires explicit authenticated adoption with current broker truth, and may then request TI monitoring without fabricating a thesis."/>
                    <pic:cNvPicPr/>
                  </pic:nvPicPr>
                  <pic:blipFill>
                    <a:blip r:embed="rIdImg22"/>
                    <a:stretch>
                      <a:fillRect/>
                    </a:stretch>
                  </pic:blipFill>
                  <pic:spPr>
                    <a:xfrm>
                      <a:off x="0" y="0"/>
                      <a:ext cx="6327648" cy="2408021"/>
                    </a:xfrm>
                    <a:prstGeom prst="rect">
                      <a:avLst/>
                    </a:prstGeom>
                  </pic:spPr>
                </pic:pic>
              </a:graphicData>
            </a:graphic>
          </wp:inline>
        </w:drawing>
      </w:r>
    </w:p>
    <w:p>
      <w:pPr>
        <w:pStyle w:val="Caption"/>
      </w:pPr>
      <w:r>
        <w:t xml:space="preserve">Figure 22. Detection ≠ adoption ≠ thesis creation ≠ execution permission.</w:t>
      </w:r>
    </w:p>
    <w:p>
      <w:pPr>
        <w:pStyle w:val="Normal"/>
      </w:pPr>
      <w:r>
        <w:t xml:space="preserve">A stale UI row is not enough to adopt the latest position revision. TM checks the exact account, current quantity and authority scope, then records who adopted what under which policy. An already managed position must not be adopted twice through duplicate client retries.</w:t>
      </w:r>
    </w:p>
    <w:p>
      <w:pPr>
        <w:pStyle w:val="Normal"/>
      </w:pPr>
      <w:r>
        <w:t xml:space="preserve">If a valid A4 thesis is absent, current A5 may return INSUFFICIENT_EVIDENCE. If current operational truth is stale or unknown, ABSTAIN is the safe intelligence outcome. TM still owns whatever operational controls its existing grants and available truth permit.</w:t>
      </w:r>
    </w:p>
    <w:p>
      <w:pPr>
        <w:pStyle w:val="Source"/>
      </w:pPr>
      <w:r>
        <w:t xml:space="preserve">READ WITH  Ecosystem §8; A5 architecture §§3,11</w:t>
      </w:r>
    </w:p>
    <w:p>
      <w:pPr>
        <w:pStyle w:val="Eyebrow"/>
        <w:pageBreakBefore/>
      </w:pPr>
      <w:r>
        <w:t xml:space="preserve">CHAPTER III  /  CHAPTER DIVIDER</w:t>
      </w:r>
    </w:p>
    <w:p>
      <w:pPr>
        <w:pStyle w:val="Heading1"/>
      </w:pPr>
      <w:r>
        <w:t xml:space="preserve">Surfaces, observability and resilience</w:t>
      </w:r>
    </w:p>
    <w:p>
      <w:pPr>
        <w:pStyle w:val="Lead"/>
      </w:pPr>
      <w:r>
        <w:t xml:space="preserve">Make the workflow legible without relocating its authority into the screen.</w:t>
      </w:r>
    </w:p>
    <w:p>
      <w:pPr>
        <w:jc w:val="center"/>
        <w:keepNext/>
      </w:pPr>
      <w:r>
        <w:drawing>
          <wp:inline distT="0" distB="0" distL="0" distR="0">
            <wp:extent cx="6327648" cy="2144369"/>
            <wp:docPr id="23" name="Figure 23" descr="Four concepts: display faithful projections, request bounded operations, enforce on the backend and explain through evidence/replay."/>
            <a:graphic>
              <a:graphicData uri="http://schemas.openxmlformats.org/drawingml/2006/picture">
                <pic:pic>
                  <pic:nvPicPr>
                    <pic:cNvPr id="0" name="part3.png" descr="Four concepts: display faithful projections, request bounded operations, enforce on the backend and explain through evidence/replay."/>
                    <pic:cNvPicPr/>
                  </pic:nvPicPr>
                  <pic:blipFill>
                    <a:blip r:embed="rIdImg23"/>
                    <a:stretch>
                      <a:fillRect/>
                    </a:stretch>
                  </pic:blipFill>
                  <pic:spPr>
                    <a:xfrm>
                      <a:off x="0" y="0"/>
                      <a:ext cx="6327648" cy="2144369"/>
                    </a:xfrm>
                    <a:prstGeom prst="rect">
                      <a:avLst/>
                    </a:prstGeom>
                  </pic:spPr>
                </pic:pic>
              </a:graphicData>
            </a:graphic>
          </wp:inline>
        </w:drawing>
      </w:r>
    </w:p>
    <w:p>
      <w:pPr>
        <w:pStyle w:val="Caption"/>
      </w:pPr>
      <w:r>
        <w:t xml:space="preserve">Figure 23. The interface is a lens and a request surface, not a parallel backend.</w:t>
      </w:r>
    </w:p>
    <w:p>
      <w:pPr>
        <w:pStyle w:val="Callout"/>
      </w:pPr>
      <w:r>
        <w:t xml:space="preserve">One cockpit must not mean one undifferentiated “approved” state.</w:t>
      </w:r>
    </w:p>
    <w:p>
      <w:pPr>
        <w:pStyle w:val="Normal"/>
      </w:pPr>
      <w:r>
        <w:t xml:space="preserve">The next pages deliberately split wide tables into linked bands. A compact daily-use grid needs concise defaults and expandable evidence, not dozens of unreadable columns or a single green traffic light that conceals conflicts.</w:t>
      </w:r>
    </w:p>
    <w:p>
      <w:pPr>
        <w:pStyle w:val="Eyebrow"/>
        <w:pageBreakBefore/>
      </w:pPr>
      <w:r>
        <w:t xml:space="preserve">III • CLIENTS  /  FUTURE MOCK LAYOUT</w:t>
      </w:r>
    </w:p>
    <w:p>
      <w:pPr>
        <w:pStyle w:val="Heading1"/>
      </w:pPr>
      <w:r>
        <w:t xml:space="preserve">Google Sheets: replaceable client</w:t>
      </w:r>
    </w:p>
    <w:p>
      <w:pPr>
        <w:jc w:val="center"/>
        <w:keepNext/>
      </w:pPr>
      <w:r>
        <w:drawing>
          <wp:inline distT="0" distB="0" distL="0" distR="0">
            <wp:extent cx="6327648" cy="2074062"/>
            <wp:docPr id="24" name="Figure 24" descr="Four Sheet responsibility groups: editable app data, backend-governed requests, read-only TI intelligence and read-only broker/TM operational projections."/>
            <a:graphic>
              <a:graphicData uri="http://schemas.openxmlformats.org/drawingml/2006/picture">
                <pic:pic>
                  <pic:nvPicPr>
                    <pic:cNvPr id="0" name="sheets.png" descr="Four Sheet responsibility groups: editable app data, backend-governed requests, read-only TI intelligence and read-only broker/TM operational projections."/>
                    <pic:cNvPicPr/>
                  </pic:nvPicPr>
                  <pic:blipFill>
                    <a:blip r:embed="rIdImg24"/>
                    <a:stretch>
                      <a:fillRect/>
                    </a:stretch>
                  </pic:blipFill>
                  <pic:spPr>
                    <a:xfrm>
                      <a:off x="0" y="0"/>
                      <a:ext cx="6327648" cy="2074062"/>
                    </a:xfrm>
                    <a:prstGeom prst="rect">
                      <a:avLst/>
                    </a:prstGeom>
                  </pic:spPr>
                </pic:pic>
              </a:graphicData>
            </a:graphic>
          </wp:inline>
        </w:drawing>
      </w:r>
    </w:p>
    <w:p>
      <w:pPr>
        <w:pStyle w:val="Caption"/>
      </w:pPr>
      <w:r>
        <w:t xml:space="preserve">Figure 24. A Sheet edit changes allowed subscriber data; an action cell sends a request.</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4300"/>
        <w:gridCol w:w="5734"/>
      </w:tblGrid>
      <w:tr>
        <w:trPr>
          <w:cantSplit/>
          <w:tblHeader/>
        </w:trPr>
        <w:tc>
          <w:tcPr>
            <w:tcW w:w="4300" w:type="dxa"/>
            <w:shd w:fill="17324D"/>
          </w:tcPr>
          <w:p>
            <w:pPr>
              <w:pStyle w:val="TableHead"/>
            </w:pPr>
            <w:r>
              <w:t xml:space="preserve">Example tabs</w:t>
            </w:r>
          </w:p>
        </w:tc>
        <w:tc>
          <w:tcPr>
            <w:tcW w:w="5734" w:type="dxa"/>
            <w:shd w:fill="17324D"/>
          </w:tcPr>
          <w:p>
            <w:pPr>
              <w:pStyle w:val="TableHead"/>
            </w:pPr>
            <w:r>
              <w:t xml:space="preserve">Role / write boundary</w:t>
            </w:r>
          </w:p>
        </w:tc>
      </w:tr>
      <w:tr>
        <w:trPr>
          <w:cantSplit/>
        </w:trPr>
        <w:tc>
          <w:tcPr>
            <w:tcW w:w="4300" w:type="dxa"/>
            <w:shd w:fill="F0F5F7"/>
          </w:tcPr>
          <w:p>
            <w:pPr>
              <w:pStyle w:val="TableText"/>
            </w:pPr>
            <w:r>
              <w:t xml:space="preserve">Dashboard • Alerts</w:t>
            </w:r>
          </w:p>
        </w:tc>
        <w:tc>
          <w:tcPr>
            <w:tcW w:w="5734" w:type="dxa"/>
            <w:shd w:fill="F0F5F7"/>
          </w:tcPr>
          <w:p>
            <w:pPr>
              <w:pStyle w:val="TableText"/>
            </w:pPr>
            <w:r>
              <w:t xml:space="preserve">Read-only aggregates and freshness/health; acknowledge only through scoped request</w:t>
            </w:r>
          </w:p>
        </w:tc>
      </w:tr>
      <w:tr>
        <w:trPr>
          <w:cantSplit/>
        </w:trPr>
        <w:tc>
          <w:tcPr>
            <w:tcW w:w="4300" w:type="dxa"/>
            <w:shd w:fill="FFFFFF"/>
          </w:tcPr>
          <w:p>
            <w:pPr>
              <w:pStyle w:val="TableText"/>
            </w:pPr>
            <w:r>
              <w:t xml:space="preserve">Watchlists • Candidates</w:t>
            </w:r>
          </w:p>
        </w:tc>
        <w:tc>
          <w:tcPr>
            <w:tcW w:w="5734" w:type="dxa"/>
            <w:shd w:fill="FFFFFF"/>
          </w:tcPr>
          <w:p>
            <w:pPr>
              <w:pStyle w:val="TableText"/>
            </w:pPr>
            <w:r>
              <w:t xml:space="preserve">Subscriber membership / drafts editable; accepted revisions and TI/TM columns read-only</w:t>
            </w:r>
          </w:p>
        </w:tc>
      </w:tr>
      <w:tr>
        <w:trPr>
          <w:cantSplit/>
        </w:trPr>
        <w:tc>
          <w:tcPr>
            <w:tcW w:w="4300" w:type="dxa"/>
            <w:shd w:fill="F0F5F7"/>
          </w:tcPr>
          <w:p>
            <w:pPr>
              <w:pStyle w:val="TableText"/>
            </w:pPr>
            <w:r>
              <w:t xml:space="preserve">Opportunities • TI Advice</w:t>
            </w:r>
          </w:p>
        </w:tc>
        <w:tc>
          <w:tcPr>
            <w:tcW w:w="5734" w:type="dxa"/>
            <w:shd w:fill="F0F5F7"/>
          </w:tcPr>
          <w:p>
            <w:pPr>
              <w:pStyle w:val="TableText"/>
            </w:pPr>
            <w:r>
              <w:t xml:space="preserve">TI explanation, gaps, sources and timestamps; read-only</w:t>
            </w:r>
          </w:p>
        </w:tc>
      </w:tr>
      <w:tr>
        <w:trPr>
          <w:cantSplit/>
        </w:trPr>
        <w:tc>
          <w:tcPr>
            <w:tcW w:w="4300" w:type="dxa"/>
            <w:shd w:fill="FFFFFF"/>
          </w:tcPr>
          <w:p>
            <w:pPr>
              <w:pStyle w:val="TableText"/>
            </w:pPr>
            <w:r>
              <w:t xml:space="preserve">Active Positions • Orders • Trade Log</w:t>
            </w:r>
          </w:p>
        </w:tc>
        <w:tc>
          <w:tcPr>
            <w:tcW w:w="5734" w:type="dxa"/>
            <w:shd w:fill="FFFFFF"/>
          </w:tcPr>
          <w:p>
            <w:pPr>
              <w:pStyle w:val="TableText"/>
            </w:pPr>
            <w:r>
              <w:t xml:space="preserve">Reconciled broker/TM records; read-only</w:t>
            </w:r>
          </w:p>
        </w:tc>
      </w:tr>
      <w:tr>
        <w:trPr>
          <w:cantSplit/>
        </w:trPr>
        <w:tc>
          <w:tcPr>
            <w:tcW w:w="4300" w:type="dxa"/>
            <w:shd w:fill="F0F5F7"/>
          </w:tcPr>
          <w:p>
            <w:pPr>
              <w:pStyle w:val="TableText"/>
            </w:pPr>
            <w:r>
              <w:t xml:space="preserve">Config</w:t>
            </w:r>
          </w:p>
        </w:tc>
        <w:tc>
          <w:tcPr>
            <w:tcW w:w="5734" w:type="dxa"/>
            <w:shd w:fill="F0F5F7"/>
          </w:tcPr>
          <w:p>
            <w:pPr>
              <w:pStyle w:val="TableText"/>
            </w:pPr>
            <w:r>
              <w:t xml:space="preserve">Permitted preferences or change requests—not raw grants, risk bypasses or credentials</w:t>
            </w:r>
          </w:p>
        </w:tc>
      </w:tr>
    </w:tbl>
    <w:p>
      <w:pPr>
        <w:pStyle w:val="Spacer"/>
      </w:pPr>
      <w:r>
        <w:t xml:space="preserve"/>
      </w:r>
    </w:p>
    <w:p>
      <w:pPr>
        <w:pStyle w:val="Source"/>
      </w:pPr>
      <w:r>
        <w:t xml:space="preserve">READ WITH  Ecosystem §9; no broker keys/tokens in Sheets; no automatic replay of stale approvals</w:t>
      </w:r>
    </w:p>
    <w:p>
      <w:pPr>
        <w:pStyle w:val="Eyebrow"/>
        <w:pageBreakBefore/>
      </w:pPr>
      <w:r>
        <w:t xml:space="preserve">III • CANDIDATE MOCKUP  /  ILLUSTRATIVE FUTURE UI</w:t>
      </w:r>
    </w:p>
    <w:p>
      <w:pPr>
        <w:pStyle w:val="Heading1"/>
      </w:pPr>
      <w:r>
        <w:t xml:space="preserve">One candidate row, several truths</w:t>
      </w:r>
    </w:p>
    <w:p>
      <w:pPr>
        <w:pStyle w:val="Normal"/>
      </w:pPr>
      <w:r>
        <w:t xml:space="preserve">These are two horizontally linked bands of the same conceptual grid. The row key pins source/candidate/revision. Detailed raw-score basis, sector context, qualification and forecast fields expand on demand; the compact view never blends them into one status.</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2200"/>
        <w:gridCol w:w="2450"/>
        <w:gridCol w:w="2300"/>
        <w:gridCol w:w="3084"/>
      </w:tblGrid>
      <w:tr>
        <w:trPr>
          <w:cantSplit/>
          <w:tblHeader/>
        </w:trPr>
        <w:tc>
          <w:tcPr>
            <w:tcW w:w="2200" w:type="dxa"/>
            <w:shd w:fill="17324D"/>
          </w:tcPr>
          <w:p>
            <w:pPr>
              <w:pStyle w:val="TableHead"/>
            </w:pPr>
            <w:r>
              <w:t xml:space="preserve">Key / source / group</w:t>
            </w:r>
          </w:p>
        </w:tc>
        <w:tc>
          <w:tcPr>
            <w:tcW w:w="2450" w:type="dxa"/>
            <w:shd w:fill="17324D"/>
          </w:tcPr>
          <w:p>
            <w:pPr>
              <w:pStyle w:val="TableHead"/>
            </w:pPr>
            <w:r>
              <w:t xml:space="preserve">Instrument / horizon / source direction</w:t>
            </w:r>
          </w:p>
        </w:tc>
        <w:tc>
          <w:tcPr>
            <w:tcW w:w="2300" w:type="dxa"/>
            <w:shd w:fill="17324D"/>
          </w:tcPr>
          <w:p>
            <w:pPr>
              <w:pStyle w:val="TableHead"/>
            </w:pPr>
            <w:r>
              <w:t xml:space="preserve">Discovery / age / expiry</w:t>
            </w:r>
          </w:p>
        </w:tc>
        <w:tc>
          <w:tcPr>
            <w:tcW w:w="3084" w:type="dxa"/>
            <w:shd w:fill="17324D"/>
          </w:tcPr>
          <w:p>
            <w:pPr>
              <w:pStyle w:val="TableHead"/>
            </w:pPr>
            <w:r>
              <w:t xml:space="preserve">TI disposition / freshness</w:t>
            </w:r>
          </w:p>
        </w:tc>
      </w:tr>
      <w:tr>
        <w:trPr>
          <w:cantSplit/>
        </w:trPr>
        <w:tc>
          <w:tcPr>
            <w:tcW w:w="2200" w:type="dxa"/>
            <w:shd w:fill="F0F5F7"/>
          </w:tcPr>
          <w:p>
            <w:pPr>
              <w:pStyle w:val="TableText"/>
            </w:pPr>
            <w:r>
              <w:t xml:space="preserve">C17-r2</w:t>
            </w:r>
            <w:r>
              <w:br/>
              <w:t xml:space="preserve">Python-A / Day-1</w:t>
            </w:r>
          </w:p>
        </w:tc>
        <w:tc>
          <w:tcPr>
            <w:tcW w:w="2450" w:type="dxa"/>
            <w:shd w:fill="F0F5F7"/>
          </w:tcPr>
          <w:p>
            <w:pPr>
              <w:pStyle w:val="TableText"/>
            </w:pPr>
            <w:r>
              <w:t xml:space="preserve">KAYNES / DAY</w:t>
            </w:r>
            <w:r>
              <w:br/>
              <w:t xml:space="preserve">BULLISH</w:t>
            </w:r>
          </w:p>
        </w:tc>
        <w:tc>
          <w:tcPr>
            <w:tcW w:w="2300" w:type="dxa"/>
            <w:shd w:fill="F0F5F7"/>
          </w:tcPr>
          <w:p>
            <w:pPr>
              <w:pStyle w:val="TableText"/>
            </w:pPr>
            <w:r>
              <w:t xml:space="preserve">ACTIVE</w:t>
            </w:r>
            <w:r>
              <w:br/>
              <w:t xml:space="preserve">2m / 10:20+05:30</w:t>
            </w:r>
          </w:p>
        </w:tc>
        <w:tc>
          <w:tcPr>
            <w:tcW w:w="3084" w:type="dxa"/>
            <w:shd w:fill="F0F5F7"/>
          </w:tcPr>
          <w:p>
            <w:pPr>
              <w:pStyle w:val="TableText"/>
            </w:pPr>
            <w:r>
              <w:t xml:space="preserve">SUPPORTIVE</w:t>
            </w:r>
            <w:r>
              <w:br/>
              <w:t xml:space="preserve">as_of 10:02+05:30; fresh for demo scope</w:t>
            </w:r>
          </w:p>
        </w:tc>
      </w:tr>
      <w:tr>
        <w:trPr>
          <w:cantSplit/>
        </w:trPr>
        <w:tc>
          <w:tcPr>
            <w:tcW w:w="2200" w:type="dxa"/>
            <w:shd w:fill="FFFFFF"/>
          </w:tcPr>
          <w:p>
            <w:pPr>
              <w:pStyle w:val="TableText"/>
            </w:pPr>
            <w:r>
              <w:t xml:space="preserve">C22-r1</w:t>
            </w:r>
            <w:r>
              <w:br/>
              <w:t xml:space="preserve">Chartink-B / Day-2</w:t>
            </w:r>
          </w:p>
        </w:tc>
        <w:tc>
          <w:tcPr>
            <w:tcW w:w="2450" w:type="dxa"/>
            <w:shd w:fill="FFFFFF"/>
          </w:tcPr>
          <w:p>
            <w:pPr>
              <w:pStyle w:val="TableText"/>
            </w:pPr>
            <w:r>
              <w:t xml:space="preserve">KAYNES / DAY</w:t>
            </w:r>
            <w:r>
              <w:br/>
              <w:t xml:space="preserve">BULLISH</w:t>
            </w:r>
          </w:p>
        </w:tc>
        <w:tc>
          <w:tcPr>
            <w:tcW w:w="2300" w:type="dxa"/>
            <w:shd w:fill="FFFFFF"/>
          </w:tcPr>
          <w:p>
            <w:pPr>
              <w:pStyle w:val="TableText"/>
            </w:pPr>
            <w:r>
              <w:t xml:space="preserve">ACTIVE</w:t>
            </w:r>
            <w:r>
              <w:br/>
              <w:t xml:space="preserve">1m / 10:18+05:30</w:t>
            </w:r>
          </w:p>
        </w:tc>
        <w:tc>
          <w:tcPr>
            <w:tcW w:w="3084" w:type="dxa"/>
            <w:shd w:fill="FFFFFF"/>
          </w:tcPr>
          <w:p>
            <w:pPr>
              <w:pStyle w:val="TableText"/>
            </w:pPr>
            <w:r>
              <w:t xml:space="preserve">WAIT</w:t>
            </w:r>
            <w:r>
              <w:br/>
              <w:t xml:space="preserve">same-round admitted assessment</w:t>
            </w:r>
          </w:p>
        </w:tc>
      </w:tr>
      <w:tr>
        <w:trPr>
          <w:cantSplit/>
        </w:trPr>
        <w:tc>
          <w:tcPr>
            <w:tcW w:w="2200" w:type="dxa"/>
            <w:shd w:fill="F0F5F7"/>
          </w:tcPr>
          <w:p>
            <w:pPr>
              <w:pStyle w:val="TableText"/>
            </w:pPr>
            <w:r>
              <w:t xml:space="preserve">C31-r1</w:t>
            </w:r>
            <w:r>
              <w:br/>
              <w:t xml:space="preserve">Manual / Swing</w:t>
            </w:r>
          </w:p>
        </w:tc>
        <w:tc>
          <w:tcPr>
            <w:tcW w:w="2450" w:type="dxa"/>
            <w:shd w:fill="F0F5F7"/>
          </w:tcPr>
          <w:p>
            <w:pPr>
              <w:pStyle w:val="TableText"/>
            </w:pPr>
            <w:r>
              <w:t xml:space="preserve">RELIANCE / POSITIONAL</w:t>
            </w:r>
            <w:r>
              <w:br/>
              <w:t xml:space="preserve">unspecified</w:t>
            </w:r>
          </w:p>
        </w:tc>
        <w:tc>
          <w:tcPr>
            <w:tcW w:w="2300" w:type="dxa"/>
            <w:shd w:fill="F0F5F7"/>
          </w:tcPr>
          <w:p>
            <w:pPr>
              <w:pStyle w:val="TableText"/>
            </w:pPr>
            <w:r>
              <w:t xml:space="preserve">ACTIVE</w:t>
            </w:r>
            <w:r>
              <w:br/>
              <w:t xml:space="preserve">1d / explicit validity</w:t>
            </w:r>
          </w:p>
        </w:tc>
        <w:tc>
          <w:tcPr>
            <w:tcW w:w="3084" w:type="dxa"/>
            <w:shd w:fill="F0F5F7"/>
          </w:tcPr>
          <w:p>
            <w:pPr>
              <w:pStyle w:val="TableText"/>
            </w:pPr>
            <w:r>
              <w:t xml:space="preserve">NOT_EVALUATED</w:t>
            </w:r>
            <w:r>
              <w:br/>
              <w:t xml:space="preserve">no TI freshness claim</w:t>
            </w:r>
          </w:p>
        </w:tc>
      </w:tr>
    </w:tbl>
    <w:p>
      <w:pPr>
        <w:pStyle w:val="Spacer"/>
      </w:pPr>
      <w:r>
        <w:t xml:space="preserve"/>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1700"/>
        <w:gridCol w:w="2900"/>
        <w:gridCol w:w="3300"/>
        <w:gridCol w:w="2134"/>
      </w:tblGrid>
      <w:tr>
        <w:trPr>
          <w:cantSplit/>
          <w:tblHeader/>
        </w:trPr>
        <w:tc>
          <w:tcPr>
            <w:tcW w:w="1700" w:type="dxa"/>
            <w:shd w:fill="17324D"/>
          </w:tcPr>
          <w:p>
            <w:pPr>
              <w:pStyle w:val="TableHead"/>
            </w:pPr>
            <w:r>
              <w:t xml:space="preserve">Same row key</w:t>
            </w:r>
          </w:p>
        </w:tc>
        <w:tc>
          <w:tcPr>
            <w:tcW w:w="2900" w:type="dxa"/>
            <w:shd w:fill="17324D"/>
          </w:tcPr>
          <w:p>
            <w:pPr>
              <w:pStyle w:val="TableHead"/>
            </w:pPr>
            <w:r>
              <w:t xml:space="preserve">Expression / owner</w:t>
            </w:r>
          </w:p>
        </w:tc>
        <w:tc>
          <w:tcPr>
            <w:tcW w:w="3300" w:type="dxa"/>
            <w:shd w:fill="17324D"/>
          </w:tcPr>
          <w:p>
            <w:pPr>
              <w:pStyle w:val="TableHead"/>
            </w:pPr>
            <w:r>
              <w:t xml:space="preserve">TM risk / authority / execution</w:t>
            </w:r>
          </w:p>
        </w:tc>
        <w:tc>
          <w:tcPr>
            <w:tcW w:w="2134" w:type="dxa"/>
            <w:shd w:fill="17324D"/>
          </w:tcPr>
          <w:p>
            <w:pPr>
              <w:pStyle w:val="TableHead"/>
            </w:pPr>
            <w:r>
              <w:t xml:space="preserve">Request actions</w:t>
            </w:r>
          </w:p>
        </w:tc>
      </w:tr>
      <w:tr>
        <w:trPr>
          <w:cantSplit/>
        </w:trPr>
        <w:tc>
          <w:tcPr>
            <w:tcW w:w="1700" w:type="dxa"/>
            <w:shd w:fill="F0F5F7"/>
          </w:tcPr>
          <w:p>
            <w:pPr>
              <w:pStyle w:val="TableText"/>
            </w:pPr>
            <w:r>
              <w:t xml:space="preserve">C17-r2</w:t>
            </w:r>
          </w:p>
        </w:tc>
        <w:tc>
          <w:tcPr>
            <w:tcW w:w="2900" w:type="dxa"/>
            <w:shd w:fill="F0F5F7"/>
          </w:tcPr>
          <w:p>
            <w:pPr>
              <w:pStyle w:val="TableText"/>
            </w:pPr>
            <w:r>
              <w:t xml:space="preserve">CE-demo-01</w:t>
            </w:r>
            <w:r>
              <w:br/>
              <w:t xml:space="preserve">future A6 result</w:t>
            </w:r>
          </w:p>
        </w:tc>
        <w:tc>
          <w:tcPr>
            <w:tcW w:w="3300" w:type="dxa"/>
            <w:shd w:fill="F0F5F7"/>
          </w:tcPr>
          <w:p>
            <w:pPr>
              <w:pStyle w:val="TableText"/>
            </w:pPr>
            <w:r>
              <w:t xml:space="preserve">PASS / pending approval / not submitted</w:t>
            </w:r>
          </w:p>
        </w:tc>
        <w:tc>
          <w:tcPr>
            <w:tcW w:w="2134" w:type="dxa"/>
            <w:shd w:fill="F0F5F7"/>
          </w:tcPr>
          <w:p>
            <w:pPr>
              <w:pStyle w:val="TableText"/>
            </w:pPr>
            <w:r>
              <w:t xml:space="preserve">Inspect evidence; request review</w:t>
            </w:r>
          </w:p>
        </w:tc>
      </w:tr>
      <w:tr>
        <w:trPr>
          <w:cantSplit/>
        </w:trPr>
        <w:tc>
          <w:tcPr>
            <w:tcW w:w="1700" w:type="dxa"/>
            <w:shd w:fill="FFFFFF"/>
          </w:tcPr>
          <w:p>
            <w:pPr>
              <w:pStyle w:val="TableText"/>
            </w:pPr>
            <w:r>
              <w:t xml:space="preserve">C22-r1</w:t>
            </w:r>
          </w:p>
        </w:tc>
        <w:tc>
          <w:tcPr>
            <w:tcW w:w="2900" w:type="dxa"/>
            <w:shd w:fill="FFFFFF"/>
          </w:tcPr>
          <w:p>
            <w:pPr>
              <w:pStyle w:val="TableText"/>
            </w:pPr>
            <w:r>
              <w:t xml:space="preserve">Not evaluated</w:t>
            </w:r>
          </w:p>
        </w:tc>
        <w:tc>
          <w:tcPr>
            <w:tcW w:w="3300" w:type="dxa"/>
            <w:shd w:fill="FFFFFF"/>
          </w:tcPr>
          <w:p>
            <w:pPr>
              <w:pStyle w:val="TableText"/>
            </w:pPr>
            <w:r>
              <w:t xml:space="preserve">BLOCKED under TI_REQUIRED / no grant / none</w:t>
            </w:r>
          </w:p>
        </w:tc>
        <w:tc>
          <w:tcPr>
            <w:tcW w:w="2134" w:type="dxa"/>
            <w:shd w:fill="FFFFFF"/>
          </w:tcPr>
          <w:p>
            <w:pPr>
              <w:pStyle w:val="TableText"/>
            </w:pPr>
            <w:r>
              <w:t xml:space="preserve">Inspect WAIT reasons</w:t>
            </w:r>
          </w:p>
        </w:tc>
      </w:tr>
      <w:tr>
        <w:trPr>
          <w:cantSplit/>
        </w:trPr>
        <w:tc>
          <w:tcPr>
            <w:tcW w:w="1700" w:type="dxa"/>
            <w:shd w:fill="F0F5F7"/>
          </w:tcPr>
          <w:p>
            <w:pPr>
              <w:pStyle w:val="TableText"/>
            </w:pPr>
            <w:r>
              <w:t xml:space="preserve">C31-r1</w:t>
            </w:r>
          </w:p>
        </w:tc>
        <w:tc>
          <w:tcPr>
            <w:tcW w:w="2900" w:type="dxa"/>
            <w:shd w:fill="F0F5F7"/>
          </w:tcPr>
          <w:p>
            <w:pPr>
              <w:pStyle w:val="TableText"/>
            </w:pPr>
            <w:r>
              <w:t xml:space="preserve">Source equity proposal; not A6</w:t>
            </w:r>
          </w:p>
        </w:tc>
        <w:tc>
          <w:tcPr>
            <w:tcW w:w="3300" w:type="dxa"/>
            <w:shd w:fill="F0F5F7"/>
          </w:tcPr>
          <w:p>
            <w:pPr>
              <w:pStyle w:val="TableText"/>
            </w:pPr>
            <w:r>
              <w:t xml:space="preserve">Not reviewed / none / none</w:t>
            </w:r>
          </w:p>
        </w:tc>
        <w:tc>
          <w:tcPr>
            <w:tcW w:w="2134" w:type="dxa"/>
            <w:shd w:fill="F0F5F7"/>
          </w:tcPr>
          <w:p>
            <w:pPr>
              <w:pStyle w:val="TableText"/>
            </w:pPr>
            <w:r>
              <w:t xml:space="preserve">Request TI evaluation</w:t>
            </w:r>
          </w:p>
        </w:tc>
      </w:tr>
    </w:tbl>
    <w:p>
      <w:pPr>
        <w:pStyle w:val="Spacer"/>
      </w:pPr>
      <w:r>
        <w:t xml:space="preserve"/>
      </w:r>
    </w:p>
    <w:p>
      <w:pPr>
        <w:pStyle w:val="Callout"/>
      </w:pPr>
      <w:r>
        <w:t xml:space="preserve">The same symbol can appear twice because the sources and candidate identities differ. “TI fresh” is a scope-specific check, not a permanent badge.</w:t>
      </w:r>
    </w:p>
    <w:p>
      <w:pPr>
        <w:pStyle w:val="Normal"/>
      </w:pPr>
      <w:r>
        <w:t xml:space="preserve">Every time above is on the same hypothetical session date, 2026-09-14, and in Asia/Kolkata; dates must be retained in persisted records. These examples do not assert market prices, current instrument eligibility, or existing operational grants. Production controls must bind exact revision and current actor/account/environment.</w:t>
      </w:r>
    </w:p>
    <w:p>
      <w:pPr>
        <w:pStyle w:val="Source"/>
      </w:pPr>
      <w:r>
        <w:t xml:space="preserve">READ WITH  Ecosystem §§3–4,9</w:t>
      </w:r>
    </w:p>
    <w:p>
      <w:pPr>
        <w:pStyle w:val="Eyebrow"/>
        <w:pageBreakBefore/>
      </w:pPr>
      <w:r>
        <w:t xml:space="preserve">III • POSITION MOCKUP  /  ILLUSTRATIVE FUTURE UI</w:t>
      </w:r>
    </w:p>
    <w:p>
      <w:pPr>
        <w:pStyle w:val="Heading1"/>
      </w:pPr>
      <w:r>
        <w:t xml:space="preserve">Operational truth beside TI advice</w:t>
      </w:r>
    </w:p>
    <w:p>
      <w:pPr>
        <w:pStyle w:val="Normal"/>
      </w:pPr>
      <w:r>
        <w:t xml:space="preserve">The row key joins these mock bands; the real UI can use expandable panels. All quantities, prices and P&amp;L below are constructed examples for display semantics—not observed data. “Broker B / DEMO” is a fictional context. The position is a simple equity example, not an A6 options claim.</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3000"/>
        <w:gridCol w:w="3400"/>
        <w:gridCol w:w="3634"/>
      </w:tblGrid>
      <w:tr>
        <w:trPr>
          <w:cantSplit/>
          <w:tblHeader/>
        </w:trPr>
        <w:tc>
          <w:tcPr>
            <w:tcW w:w="3000" w:type="dxa"/>
            <w:shd w:fill="17324D"/>
          </w:tcPr>
          <w:p>
            <w:pPr>
              <w:pStyle w:val="TableHead"/>
            </w:pPr>
            <w:r>
              <w:t xml:space="preserve">Position / owner</w:t>
            </w:r>
          </w:p>
        </w:tc>
        <w:tc>
          <w:tcPr>
            <w:tcW w:w="3400" w:type="dxa"/>
            <w:shd w:fill="17324D"/>
          </w:tcPr>
          <w:p>
            <w:pPr>
              <w:pStyle w:val="TableHead"/>
            </w:pPr>
            <w:r>
              <w:t xml:space="preserve">Exposure / source</w:t>
            </w:r>
          </w:p>
        </w:tc>
        <w:tc>
          <w:tcPr>
            <w:tcW w:w="3634" w:type="dxa"/>
            <w:shd w:fill="17324D"/>
          </w:tcPr>
          <w:p>
            <w:pPr>
              <w:pStyle w:val="TableHead"/>
            </w:pPr>
            <w:r>
              <w:t xml:space="preserve">Origin / adoption / as_of</w:t>
            </w:r>
          </w:p>
        </w:tc>
      </w:tr>
      <w:tr>
        <w:trPr>
          <w:cantSplit/>
        </w:trPr>
        <w:tc>
          <w:tcPr>
            <w:tcW w:w="3000" w:type="dxa"/>
            <w:shd w:fill="F0F5F7"/>
          </w:tcPr>
          <w:p>
            <w:pPr>
              <w:pStyle w:val="TableText"/>
            </w:pPr>
            <w:r>
              <w:t xml:space="preserve">Broker B / DEMO</w:t>
            </w:r>
            <w:r>
              <w:br/>
              <w:t xml:space="preserve">BP-EQ7 → P-EQ42-r3</w:t>
            </w:r>
          </w:p>
        </w:tc>
        <w:tc>
          <w:tcPr>
            <w:tcW w:w="3400" w:type="dxa"/>
            <w:shd w:fill="F0F5F7"/>
          </w:tcPr>
          <w:p>
            <w:pPr>
              <w:pStyle w:val="TableText"/>
            </w:pPr>
            <w:r>
              <w:t xml:space="preserve">RELIANCE equity</w:t>
            </w:r>
            <w:r>
              <w:br/>
              <w:t xml:space="preserve">Qty 10; entry ₹1,000; mark ₹1,010</w:t>
            </w:r>
          </w:p>
        </w:tc>
        <w:tc>
          <w:tcPr>
            <w:tcW w:w="3634" w:type="dxa"/>
            <w:shd w:fill="F0F5F7"/>
          </w:tcPr>
          <w:p>
            <w:pPr>
              <w:pStyle w:val="TableText"/>
            </w:pPr>
            <w:r>
              <w:t xml:space="preserve">BROKER_EXTERNAL; adopted by TM</w:t>
            </w:r>
            <w:r>
              <w:br/>
              <w:t xml:space="preserve">2026-09-14T11:00:00+05:30</w:t>
            </w:r>
          </w:p>
        </w:tc>
      </w:tr>
      <w:tr>
        <w:trPr>
          <w:cantSplit/>
        </w:trPr>
        <w:tc>
          <w:tcPr>
            <w:tcW w:w="3000" w:type="dxa"/>
            <w:shd w:fill="FFFFFF"/>
          </w:tcPr>
          <w:p>
            <w:pPr>
              <w:pStyle w:val="TableText"/>
            </w:pPr>
            <w:r>
              <w:t xml:space="preserve">P&amp;L / TM-derived display</w:t>
            </w:r>
          </w:p>
        </w:tc>
        <w:tc>
          <w:tcPr>
            <w:tcW w:w="3400" w:type="dxa"/>
            <w:shd w:fill="FFFFFF"/>
          </w:tcPr>
          <w:p>
            <w:pPr>
              <w:pStyle w:val="TableText"/>
            </w:pPr>
            <w:r>
              <w:t xml:space="preserve">₹100 unrealized = 10 × (1,010 − 1,000)</w:t>
            </w:r>
          </w:p>
        </w:tc>
        <w:tc>
          <w:tcPr>
            <w:tcW w:w="3634" w:type="dxa"/>
            <w:shd w:fill="FFFFFF"/>
          </w:tcPr>
          <w:p>
            <w:pPr>
              <w:pStyle w:val="TableText"/>
            </w:pPr>
            <w:r>
              <w:t xml:space="preserve">Fees excluded; mark timestamp retained</w:t>
            </w:r>
            <w:r>
              <w:br/>
              <w:t xml:space="preserve">Not a broker-confirmed realized return</w:t>
            </w:r>
          </w:p>
        </w:tc>
      </w:tr>
    </w:tbl>
    <w:p>
      <w:pPr>
        <w:pStyle w:val="Spacer"/>
      </w:pPr>
      <w:r>
        <w:t xml:space="preserve"/>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3450"/>
        <w:gridCol w:w="3350"/>
        <w:gridCol w:w="3234"/>
      </w:tblGrid>
      <w:tr>
        <w:trPr>
          <w:cantSplit/>
          <w:tblHeader/>
        </w:trPr>
        <w:tc>
          <w:tcPr>
            <w:tcW w:w="3450" w:type="dxa"/>
            <w:shd w:fill="17324D"/>
          </w:tcPr>
          <w:p>
            <w:pPr>
              <w:pStyle w:val="TableHead"/>
            </w:pPr>
            <w:r>
              <w:t xml:space="preserve">TI-owned intelligence</w:t>
            </w:r>
          </w:p>
        </w:tc>
        <w:tc>
          <w:tcPr>
            <w:tcW w:w="3350" w:type="dxa"/>
            <w:shd w:fill="17324D"/>
          </w:tcPr>
          <w:p>
            <w:pPr>
              <w:pStyle w:val="TableHead"/>
            </w:pPr>
            <w:r>
              <w:t xml:space="preserve">TM-owned operations</w:t>
            </w:r>
          </w:p>
        </w:tc>
        <w:tc>
          <w:tcPr>
            <w:tcW w:w="3234" w:type="dxa"/>
            <w:shd w:fill="17324D"/>
          </w:tcPr>
          <w:p>
            <w:pPr>
              <w:pStyle w:val="TableHead"/>
            </w:pPr>
            <w:r>
              <w:t xml:space="preserve">TI-runtime health</w:t>
            </w:r>
          </w:p>
        </w:tc>
      </w:tr>
      <w:tr>
        <w:trPr>
          <w:cantSplit/>
        </w:trPr>
        <w:tc>
          <w:tcPr>
            <w:tcW w:w="3450" w:type="dxa"/>
            <w:shd w:fill="F0F5F7"/>
          </w:tcPr>
          <w:p>
            <w:pPr>
              <w:pStyle w:val="TableText"/>
            </w:pPr>
            <w:r>
              <w:t xml:space="preserve">A5 posture: CAPITAL_AT_RISK</w:t>
            </w:r>
            <w:r>
              <w:br/>
              <w:t xml:space="preserve">Thesis: INTACT</w:t>
            </w:r>
            <w:r>
              <w:br/>
              <w:t xml:space="preserve">Advice: MAINTAIN</w:t>
            </w:r>
          </w:p>
        </w:tc>
        <w:tc>
          <w:tcPr>
            <w:tcW w:w="3350" w:type="dxa"/>
            <w:shd w:fill="F0F5F7"/>
          </w:tcPr>
          <w:p>
            <w:pPr>
              <w:pStyle w:val="TableText"/>
            </w:pPr>
            <w:r>
              <w:t xml:space="preserve">Risk: within demo envelope</w:t>
            </w:r>
            <w:r>
              <w:br/>
              <w:t xml:space="preserve">Authority: scoped, expires</w:t>
            </w:r>
            <w:r>
              <w:br/>
              <w:t xml:space="preserve">Protective order: NOT_CONFIRMED</w:t>
            </w:r>
          </w:p>
        </w:tc>
        <w:tc>
          <w:tcPr>
            <w:tcW w:w="3234" w:type="dxa"/>
            <w:shd w:fill="F0F5F7"/>
          </w:tcPr>
          <w:p>
            <w:pPr>
              <w:pStyle w:val="TableText"/>
            </w:pPr>
            <w:r>
              <w:t xml:space="preserve">Runtime: NOT_ACTIVE</w:t>
            </w:r>
            <w:r>
              <w:br/>
              <w:t xml:space="preserve">Last captured A5: 11:00+05:30</w:t>
            </w:r>
            <w:r>
              <w:br/>
              <w:t xml:space="preserve">Next due: unavailable</w:t>
            </w:r>
          </w:p>
        </w:tc>
      </w:tr>
      <w:tr>
        <w:trPr>
          <w:cantSplit/>
        </w:trPr>
        <w:tc>
          <w:tcPr>
            <w:tcW w:w="3450" w:type="dxa"/>
            <w:shd w:fill="FFFFFF"/>
          </w:tcPr>
          <w:p>
            <w:pPr>
              <w:pStyle w:val="TableText"/>
            </w:pPr>
            <w:r>
              <w:t xml:space="preserve">Protection intent: none newly supplied</w:t>
            </w:r>
            <w:r>
              <w:br/>
              <w:t xml:space="preserve">Evidence/gaps: expandable</w:t>
            </w:r>
          </w:p>
        </w:tc>
        <w:tc>
          <w:tcPr>
            <w:tcW w:w="3350" w:type="dxa"/>
            <w:shd w:fill="FFFFFF"/>
          </w:tcPr>
          <w:p>
            <w:pPr>
              <w:pStyle w:val="TableText"/>
            </w:pPr>
            <w:r>
              <w:t xml:space="preserve">Broker/account context pinned</w:t>
            </w:r>
            <w:r>
              <w:br/>
              <w:t xml:space="preserve">Actions: request review / reconcile</w:t>
            </w:r>
          </w:p>
        </w:tc>
        <w:tc>
          <w:tcPr>
            <w:tcW w:w="3234" w:type="dxa"/>
            <w:shd w:fill="FFFFFF"/>
          </w:tcPr>
          <w:p>
            <w:pPr>
              <w:pStyle w:val="TableText"/>
            </w:pPr>
            <w:r>
              <w:t xml:space="preserve">Cadence hint, if present: advisory</w:t>
            </w:r>
            <w:r>
              <w:br/>
              <w:t xml:space="preserve">Not proof of scheduled work</w:t>
            </w:r>
          </w:p>
        </w:tc>
      </w:tr>
    </w:tbl>
    <w:p>
      <w:pPr>
        <w:pStyle w:val="Spacer"/>
      </w:pPr>
      <w:r>
        <w:t xml:space="preserve"/>
      </w:r>
    </w:p>
    <w:p>
      <w:pPr>
        <w:pStyle w:val="Callout"/>
      </w:pPr>
      <w:r>
        <w:t xml:space="preserve">An analytical protection posture is not a protective broker order. “Last captured evaluation” is not a live monitoring heartbeat.</w:t>
      </w:r>
    </w:p>
    <w:p>
      <w:pPr>
        <w:pStyle w:val="Normal"/>
      </w:pPr>
      <w:r>
        <w:t xml:space="preserve">A5 recommendation, thesis health and analytical risk posture remain distinct fields. TM owns quantity, risk and action grants; broker observations anchor live exposure. If monitoring later exists, display last evaluation, next admitted due slot, expiry and overdue status independently of a stale cached recommendation.</w:t>
      </w:r>
    </w:p>
    <w:p>
      <w:pPr>
        <w:pStyle w:val="Source"/>
      </w:pPr>
      <w:r>
        <w:t xml:space="preserve">READ WITH  Ecosystem §9; A5 architecture §4; Monitoring §5</w:t>
      </w:r>
    </w:p>
    <w:p>
      <w:pPr>
        <w:pStyle w:val="Eyebrow"/>
        <w:pageBreakBefore/>
      </w:pPr>
      <w:r>
        <w:t xml:space="preserve">III • WORKSPACES  /  FUTURE UI • CURRENT CONTRACT BOUNDARIES</w:t>
      </w:r>
    </w:p>
    <w:p>
      <w:pPr>
        <w:pStyle w:val="Heading1"/>
      </w:pPr>
      <w:r>
        <w:t xml:space="preserve">TI workspace vs TM workspace</w:t>
      </w:r>
    </w:p>
    <w:p>
      <w:pPr>
        <w:jc w:val="center"/>
        <w:keepNext/>
      </w:pPr>
      <w:r>
        <w:drawing>
          <wp:inline distT="0" distB="0" distL="0" distR="0">
            <wp:extent cx="6327648" cy="2531059"/>
            <wp:docPr id="25" name="Figure 25" descr="TI workspace explains evidence and intelligence. TM workspace explains exposure and permitted actions. Console and graphical UI invoke the same governed contracts."/>
            <a:graphic>
              <a:graphicData uri="http://schemas.openxmlformats.org/drawingml/2006/picture">
                <pic:pic>
                  <pic:nvPicPr>
                    <pic:cNvPr id="0" name="workspaces.png" descr="TI workspace explains evidence and intelligence. TM workspace explains exposure and permitted actions. Console and graphical UI invoke the same governed contracts."/>
                    <pic:cNvPicPr/>
                  </pic:nvPicPr>
                  <pic:blipFill>
                    <a:blip r:embed="rIdImg25"/>
                    <a:stretch>
                      <a:fillRect/>
                    </a:stretch>
                  </pic:blipFill>
                  <pic:spPr>
                    <a:xfrm>
                      <a:off x="0" y="0"/>
                      <a:ext cx="6327648" cy="2531059"/>
                    </a:xfrm>
                    <a:prstGeom prst="rect">
                      <a:avLst/>
                    </a:prstGeom>
                  </pic:spPr>
                </pic:pic>
              </a:graphicData>
            </a:graphic>
          </wp:inline>
        </w:drawing>
      </w:r>
    </w:p>
    <w:p>
      <w:pPr>
        <w:pStyle w:val="Caption"/>
      </w:pPr>
      <w:r>
        <w:t xml:space="preserve">Figure 25. A console and a UI are two views of the same boundaries.</w:t>
      </w:r>
    </w:p>
    <w:p>
      <w:pPr>
        <w:pStyle w:val="Normal"/>
      </w:pPr>
      <w:r>
        <w:t xml:space="preserve">Current TI_SHELL is a local client of curated PURE/CAPTURED_READ operations. A future Web client or Sheets connector must not expand capability authority just because it has a convenient button. It also cannot infer successful adoption or order state from a submitted request.</w:t>
      </w:r>
    </w:p>
    <w:p>
      <w:pPr>
        <w:pStyle w:val="Normal"/>
      </w:pPr>
      <w:r>
        <w:t xml:space="preserve">A shared selection can synchronize KAYNES and a chosen candidate/position across both workspaces. Identity, permissions, provider rights and backend ownership still remain explicit. One panel’s successful request is not another panel’s permission grant.</w:t>
      </w:r>
    </w:p>
    <w:p>
      <w:pPr>
        <w:pStyle w:val="Source"/>
      </w:pPr>
      <w:r>
        <w:t xml:space="preserve">READ WITH  Ecosystem §9; deployment architecture; TBD CLI/Web UI ideas remain future</w:t>
      </w:r>
    </w:p>
    <w:p>
      <w:pPr>
        <w:pStyle w:val="Eyebrow"/>
        <w:pageBreakBefore/>
      </w:pPr>
      <w:r>
        <w:t xml:space="preserve">III • TRADING COCKPIT  /  FUTURE MOCK ARCHITECTURE</w:t>
      </w:r>
    </w:p>
    <w:p>
      <w:pPr>
        <w:pStyle w:val="Heading1"/>
      </w:pPr>
      <w:r>
        <w:t xml:space="preserve">A multi-console daily workstation</w:t>
      </w:r>
    </w:p>
    <w:p>
      <w:pPr>
        <w:jc w:val="center"/>
        <w:keepNext/>
      </w:pPr>
      <w:r>
        <w:drawing>
          <wp:inline distT="0" distB="0" distL="0" distR="0">
            <wp:extent cx="6327648" cy="3866896"/>
            <wp:docPr id="26" name="Figure 26" descr="Future cockpit mockup with explicit simulation, broker/account context and shared selection. Six panels cover Scanner, Intelligence, Operations, Monitoring, Position and Audit, each showing its owner."/>
            <a:graphic>
              <a:graphicData uri="http://schemas.openxmlformats.org/drawingml/2006/picture">
                <pic:pic>
                  <pic:nvPicPr>
                    <pic:cNvPr id="0" name="cockpit.png" descr="Future cockpit mockup with explicit simulation, broker/account context and shared selection. Six panels cover Scanner, Intelligence, Operations, Monitoring, Position and Audit, each showing its owner."/>
                    <pic:cNvPicPr/>
                  </pic:nvPicPr>
                  <pic:blipFill>
                    <a:blip r:embed="rIdImg26"/>
                    <a:stretch>
                      <a:fillRect/>
                    </a:stretch>
                  </pic:blipFill>
                  <pic:spPr>
                    <a:xfrm>
                      <a:off x="0" y="0"/>
                      <a:ext cx="6327648" cy="3866896"/>
                    </a:xfrm>
                    <a:prstGeom prst="rect">
                      <a:avLst/>
                    </a:prstGeom>
                  </pic:spPr>
                </pic:pic>
              </a:graphicData>
            </a:graphic>
          </wp:inline>
        </w:drawing>
      </w:r>
    </w:p>
    <w:p>
      <w:pPr>
        <w:pStyle w:val="Caption"/>
      </w:pPr>
      <w:r>
        <w:t xml:space="preserve">Figure 26. A cohesive workspace built from separate governed panels.</w:t>
      </w:r>
    </w:p>
    <w:p>
      <w:pPr>
        <w:pStyle w:val="Normal"/>
      </w:pPr>
      <w:r>
        <w:t xml:space="preserve">The selection context may carry canonical instrument, candidate revision, thesis/result ID and operational position ID. It is navigation state—not shared mutable analysis or a common authority token. Each panel requests only the scopes its backend and acting principal permit.</w:t>
      </w:r>
    </w:p>
    <w:p>
      <w:pPr>
        <w:pStyle w:val="Normal"/>
      </w:pPr>
      <w:r>
        <w:t xml:space="preserve">A role-limited research workspace may omit order controls entirely. An operations workspace must make broker/account/environment impossible to confuse and recheck authority server-side. UI outage must not freeze otherwise authorized backend reconciliation; stale reconnect requests must not auto-execute.</w:t>
      </w:r>
    </w:p>
    <w:p>
      <w:pPr>
        <w:pStyle w:val="Callout"/>
      </w:pPr>
      <w:r>
        <w:t xml:space="preserve">Unified experience. Separate ownership. Explicit account and environment.</w:t>
      </w:r>
    </w:p>
    <w:p>
      <w:pPr>
        <w:pStyle w:val="Source"/>
      </w:pPr>
      <w:r>
        <w:t xml:space="preserve">READ WITH  Ecosystem §9; future interaction technology and session design remain gated</w:t>
      </w:r>
    </w:p>
    <w:p>
      <w:pPr>
        <w:pStyle w:val="Eyebrow"/>
        <w:pageBreakBefore/>
      </w:pPr>
      <w:r>
        <w:t xml:space="preserve">III • AUDIT  /  ACCEPTED DESIGN</w:t>
      </w:r>
    </w:p>
    <w:p>
      <w:pPr>
        <w:pStyle w:val="Heading1"/>
      </w:pPr>
      <w:r>
        <w:t xml:space="preserve">Why was this trade taken?</w:t>
      </w:r>
    </w:p>
    <w:p>
      <w:pPr>
        <w:jc w:val="center"/>
        <w:keepNext/>
      </w:pPr>
      <w:r>
        <w:drawing>
          <wp:inline distT="0" distB="0" distL="0" distR="0">
            <wp:extent cx="6327648" cy="4218432"/>
            <wp:docPr id="27" name="Figure 27" descr="Audit lineage links source event/candidate revision, evidence/A2/A4, future expression, TM approval/ExecutionIntent, broker order/fill/position, operational position and monitoring/A5 run. Each stage retains its own policy and parent links."/>
            <a:graphic>
              <a:graphicData uri="http://schemas.openxmlformats.org/drawingml/2006/picture">
                <pic:pic>
                  <pic:nvPicPr>
                    <pic:cNvPr id="0" name="lineage.png" descr="Audit lineage links source event/candidate revision, evidence/A2/A4, future expression, TM approval/ExecutionIntent, broker order/fill/position, operational position and monitoring/A5 run. Each stage retains its own policy and parent links."/>
                    <pic:cNvPicPr/>
                  </pic:nvPicPr>
                  <pic:blipFill>
                    <a:blip r:embed="rIdImg27"/>
                    <a:stretch>
                      <a:fillRect/>
                    </a:stretch>
                  </pic:blipFill>
                  <pic:spPr>
                    <a:xfrm>
                      <a:off x="0" y="0"/>
                      <a:ext cx="6327648" cy="4218432"/>
                    </a:xfrm>
                    <a:prstGeom prst="rect">
                      <a:avLst/>
                    </a:prstGeom>
                  </pic:spPr>
                </pic:pic>
              </a:graphicData>
            </a:graphic>
          </wp:inline>
        </w:drawing>
      </w:r>
    </w:p>
    <w:p>
      <w:pPr>
        <w:pStyle w:val="Caption"/>
      </w:pPr>
      <w:r>
        <w:t xml:space="preserve">Figure 27. One correlation context links immutable local objects; it does not replace their IDs.</w:t>
      </w:r>
    </w:p>
    <w:p>
      <w:pPr>
        <w:pStyle w:val="Normal"/>
      </w:pPr>
      <w:r>
        <w:t xml:space="preserve">Keep event time, availability time, acquisition time and decision as_of distinct. Child evidence fingerprints, baseline and A4 outputs remain unchanged; later comparison runs are separate artifacts. One event may fan out to multiple candidates, subscribers, fills or mandates, so lineage is a graph, not one mutable “trade row”.</w:t>
      </w:r>
    </w:p>
    <w:p>
      <w:pPr>
        <w:pStyle w:val="Source"/>
      </w:pPr>
      <w:r>
        <w:t xml:space="preserve">READ WITH  Ecosystem §§5,10; A4/A5 replay; source-authority architecture</w:t>
      </w:r>
    </w:p>
    <w:p>
      <w:pPr>
        <w:pStyle w:val="Eyebrow"/>
        <w:pageBreakBefore/>
      </w:pPr>
      <w:r>
        <w:t xml:space="preserve">III • REPLAY  /  ACCEPTED DESIGN</w:t>
      </w:r>
    </w:p>
    <w:p>
      <w:pPr>
        <w:pStyle w:val="Heading1"/>
      </w:pPr>
      <w:r>
        <w:t xml:space="preserve">Replay explains; replay never executes</w:t>
      </w:r>
    </w:p>
    <w:p>
      <w:pPr>
        <w:jc w:val="center"/>
        <w:keepNext/>
      </w:pPr>
      <w:r>
        <w:drawing>
          <wp:inline distT="0" distB="0" distL="0" distR="0">
            <wp:extent cx="6327648" cy="2214676"/>
            <wp:docPr id="28" name="Figure 28" descr="Replay has four boundaries: captured decision, offline verification, operational event history with no dispatch, and separately labelled new-policy comparison."/>
            <a:graphic>
              <a:graphicData uri="http://schemas.openxmlformats.org/drawingml/2006/picture">
                <pic:pic>
                  <pic:nvPicPr>
                    <pic:cNvPr id="0" name="replay.png" descr="Replay has four boundaries: captured decision, offline verification, operational event history with no dispatch, and separately labelled new-policy comparison."/>
                    <pic:cNvPicPr/>
                  </pic:nvPicPr>
                  <pic:blipFill>
                    <a:blip r:embed="rIdImg28"/>
                    <a:stretch>
                      <a:fillRect/>
                    </a:stretch>
                  </pic:blipFill>
                  <pic:spPr>
                    <a:xfrm>
                      <a:off x="0" y="0"/>
                      <a:ext cx="6327648" cy="2214676"/>
                    </a:xfrm>
                    <a:prstGeom prst="rect">
                      <a:avLst/>
                    </a:prstGeom>
                  </pic:spPr>
                </pic:pic>
              </a:graphicData>
            </a:graphic>
          </wp:inline>
        </w:drawing>
      </w:r>
    </w:p>
    <w:p>
      <w:pPr>
        <w:pStyle w:val="Caption"/>
      </w:pPr>
      <w:r>
        <w:t xml:space="preserve">Figure 28. Captured reconstruction and new-policy comparison are different products.</w:t>
      </w:r>
    </w:p>
    <w:p>
      <w:pPr>
        <w:pStyle w:val="Normal"/>
      </w:pPr>
      <w:r>
        <w:t xml:space="preserve">A lineage bundle should retain the decision-time required scope, missing evidence, contradiction findings, source rights and usage observations alongside the successful outputs. A future full composition manifest cannot be reconstructed by consulting today’s registry; absent identity remains COMPOSITION_UNAVAILABLE.</w:t>
      </w:r>
    </w:p>
    <w:p>
      <w:pPr>
        <w:pStyle w:val="Normal"/>
      </w:pPr>
      <w:r>
        <w:t xml:space="preserve">Current captured replay is an implemented TI capability. Durable cross-system export, exact retention and TM replay integration still require their own acceptance. A saved research result is not automatically a current approval, and a successful replay says nothing about today’s broker exposure.</w:t>
      </w:r>
    </w:p>
    <w:p>
      <w:pPr>
        <w:pStyle w:val="Source"/>
      </w:pPr>
      <w:r>
        <w:t xml:space="preserve">READ WITH  Ecosystem §10; pluggability §§9–10; A3.10/A4/A5 captured replay</w:t>
      </w:r>
    </w:p>
    <w:p>
      <w:pPr>
        <w:pStyle w:val="Eyebrow"/>
        <w:pageBreakBefore/>
      </w:pPr>
      <w:r>
        <w:t xml:space="preserve">III • RESILIENCE  /  ACCEPTED DESIGN</w:t>
      </w:r>
    </w:p>
    <w:p>
      <w:pPr>
        <w:pStyle w:val="Heading1"/>
      </w:pPr>
      <w:r>
        <w:t xml:space="preserve">Failure and degradation matrix</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2200"/>
        <w:gridCol w:w="2650"/>
        <w:gridCol w:w="2800"/>
        <w:gridCol w:w="2384"/>
      </w:tblGrid>
      <w:tr>
        <w:trPr>
          <w:cantSplit/>
          <w:tblHeader/>
        </w:trPr>
        <w:tc>
          <w:tcPr>
            <w:tcW w:w="2200" w:type="dxa"/>
            <w:shd w:fill="17324D"/>
          </w:tcPr>
          <w:p>
            <w:pPr>
              <w:pStyle w:val="TableHead"/>
            </w:pPr>
            <w:r>
              <w:t xml:space="preserve">Failure</w:t>
            </w:r>
          </w:p>
        </w:tc>
        <w:tc>
          <w:tcPr>
            <w:tcW w:w="2650" w:type="dxa"/>
            <w:shd w:fill="17324D"/>
          </w:tcPr>
          <w:p>
            <w:pPr>
              <w:pStyle w:val="TableHead"/>
            </w:pPr>
            <w:r>
              <w:t xml:space="preserve">New-entry behavior</w:t>
            </w:r>
          </w:p>
        </w:tc>
        <w:tc>
          <w:tcPr>
            <w:tcW w:w="2800" w:type="dxa"/>
            <w:shd w:fill="17324D"/>
          </w:tcPr>
          <w:p>
            <w:pPr>
              <w:pStyle w:val="TableHead"/>
            </w:pPr>
            <w:r>
              <w:t xml:space="preserve">Existing work / position</w:t>
            </w:r>
          </w:p>
        </w:tc>
        <w:tc>
          <w:tcPr>
            <w:tcW w:w="2384" w:type="dxa"/>
            <w:shd w:fill="17324D"/>
          </w:tcPr>
          <w:p>
            <w:pPr>
              <w:pStyle w:val="TableHead"/>
            </w:pPr>
            <w:r>
              <w:t xml:space="preserve">Truth that must remain visible</w:t>
            </w:r>
          </w:p>
        </w:tc>
      </w:tr>
      <w:tr>
        <w:trPr>
          <w:cantSplit/>
        </w:trPr>
        <w:tc>
          <w:tcPr>
            <w:tcW w:w="2200" w:type="dxa"/>
            <w:shd w:fill="F0F5F7"/>
          </w:tcPr>
          <w:p>
            <w:pPr>
              <w:pStyle w:val="TableText"/>
            </w:pPr>
            <w:r>
              <w:t xml:space="preserve">Scanner unavailable</w:t>
            </w:r>
          </w:p>
        </w:tc>
        <w:tc>
          <w:tcPr>
            <w:tcW w:w="2650" w:type="dxa"/>
            <w:shd w:fill="F0F5F7"/>
          </w:tcPr>
          <w:p>
            <w:pPr>
              <w:pStyle w:val="TableText"/>
            </w:pPr>
            <w:r>
              <w:t xml:space="preserve">No fabricated new candidates; existing validity still expires</w:t>
            </w:r>
          </w:p>
        </w:tc>
        <w:tc>
          <w:tcPr>
            <w:tcW w:w="2800" w:type="dxa"/>
            <w:shd w:fill="F0F5F7"/>
          </w:tcPr>
          <w:p>
            <w:pPr>
              <w:pStyle w:val="TableText"/>
            </w:pPr>
            <w:r>
              <w:t xml:space="preserve">TM reconciles existing exposure; admitted TI work may continue within bounds</w:t>
            </w:r>
          </w:p>
        </w:tc>
        <w:tc>
          <w:tcPr>
            <w:tcW w:w="2384" w:type="dxa"/>
            <w:shd w:fill="F0F5F7"/>
          </w:tcPr>
          <w:p>
            <w:pPr>
              <w:pStyle w:val="TableText"/>
            </w:pPr>
            <w:r>
              <w:t xml:space="preserve">Source outage, candidate age and expiry</w:t>
            </w:r>
          </w:p>
        </w:tc>
      </w:tr>
      <w:tr>
        <w:trPr>
          <w:cantSplit/>
        </w:trPr>
        <w:tc>
          <w:tcPr>
            <w:tcW w:w="2200" w:type="dxa"/>
            <w:shd w:fill="FFFFFF"/>
          </w:tcPr>
          <w:p>
            <w:pPr>
              <w:pStyle w:val="TableText"/>
            </w:pPr>
            <w:r>
              <w:t xml:space="preserve">TI unavailable</w:t>
            </w:r>
          </w:p>
        </w:tc>
        <w:tc>
          <w:tcPr>
            <w:tcW w:w="2650" w:type="dxa"/>
            <w:shd w:fill="FFFFFF"/>
          </w:tcPr>
          <w:p>
            <w:pPr>
              <w:pStyle w:val="TableText"/>
            </w:pPr>
            <w:r>
              <w:t xml:space="preserve">TI_REQUIRED blocks; TI_OPTIONAL only under preapproved policy</w:t>
            </w:r>
          </w:p>
        </w:tc>
        <w:tc>
          <w:tcPr>
            <w:tcW w:w="2800" w:type="dxa"/>
            <w:shd w:fill="FFFFFF"/>
          </w:tcPr>
          <w:p>
            <w:pPr>
              <w:pStyle w:val="TableText"/>
            </w:pPr>
            <w:r>
              <w:t xml:space="preserve">TM’s independent controls continue within existing authority and available truth</w:t>
            </w:r>
          </w:p>
        </w:tc>
        <w:tc>
          <w:tcPr>
            <w:tcW w:w="2384" w:type="dxa"/>
            <w:shd w:fill="FFFFFF"/>
          </w:tcPr>
          <w:p>
            <w:pPr>
              <w:pStyle w:val="TableText"/>
            </w:pPr>
            <w:r>
              <w:t xml:space="preserve">NOT_TI_VALIDATED if permitted; last TI as_of and gaps</w:t>
            </w:r>
          </w:p>
        </w:tc>
      </w:tr>
      <w:tr>
        <w:trPr>
          <w:cantSplit/>
        </w:trPr>
        <w:tc>
          <w:tcPr>
            <w:tcW w:w="2200" w:type="dxa"/>
            <w:shd w:fill="F0F5F7"/>
          </w:tcPr>
          <w:p>
            <w:pPr>
              <w:pStyle w:val="TableText"/>
            </w:pPr>
            <w:r>
              <w:t xml:space="preserve">Required capability absent</w:t>
            </w:r>
          </w:p>
        </w:tc>
        <w:tc>
          <w:tcPr>
            <w:tcW w:w="2650" w:type="dxa"/>
            <w:shd w:fill="F0F5F7"/>
          </w:tcPr>
          <w:p>
            <w:pPr>
              <w:pStyle w:val="TableText"/>
            </w:pPr>
            <w:r>
              <w:t xml:space="preserve">Block / explicit incomplete result; do not shrink required scope</w:t>
            </w:r>
          </w:p>
        </w:tc>
        <w:tc>
          <w:tcPr>
            <w:tcW w:w="2800" w:type="dxa"/>
            <w:shd w:fill="F0F5F7"/>
          </w:tcPr>
          <w:p>
            <w:pPr>
              <w:pStyle w:val="TableText"/>
            </w:pPr>
            <w:r>
              <w:t xml:space="preserve">Other safe, independent work can continue</w:t>
            </w:r>
          </w:p>
        </w:tc>
        <w:tc>
          <w:tcPr>
            <w:tcW w:w="2384" w:type="dxa"/>
            <w:shd w:fill="F0F5F7"/>
          </w:tcPr>
          <w:p>
            <w:pPr>
              <w:pStyle w:val="TableText"/>
            </w:pPr>
            <w:r>
              <w:t xml:space="preserve">Required absence and exact profile/version</w:t>
            </w:r>
          </w:p>
        </w:tc>
      </w:tr>
      <w:tr>
        <w:trPr>
          <w:cantSplit/>
        </w:trPr>
        <w:tc>
          <w:tcPr>
            <w:tcW w:w="2200" w:type="dxa"/>
            <w:shd w:fill="FFFFFF"/>
          </w:tcPr>
          <w:p>
            <w:pPr>
              <w:pStyle w:val="TableText"/>
            </w:pPr>
            <w:r>
              <w:t xml:space="preserve">Broker unavailable / timeout</w:t>
            </w:r>
          </w:p>
        </w:tc>
        <w:tc>
          <w:tcPr>
            <w:tcW w:w="2650" w:type="dxa"/>
            <w:shd w:fill="FFFFFF"/>
          </w:tcPr>
          <w:p>
            <w:pPr>
              <w:pStyle w:val="TableText"/>
            </w:pPr>
            <w:r>
              <w:t xml:space="preserve">Block uncertain new exposure; reconcile before retry</w:t>
            </w:r>
          </w:p>
        </w:tc>
        <w:tc>
          <w:tcPr>
            <w:tcW w:w="2800" w:type="dxa"/>
            <w:shd w:fill="FFFFFF"/>
          </w:tcPr>
          <w:p>
            <w:pPr>
              <w:pStyle w:val="TableText"/>
            </w:pPr>
            <w:r>
              <w:t xml:space="preserve">Do not promise protection can execute; preserve open/unknown states</w:t>
            </w:r>
          </w:p>
        </w:tc>
        <w:tc>
          <w:tcPr>
            <w:tcW w:w="2384" w:type="dxa"/>
            <w:shd w:fill="FFFFFF"/>
          </w:tcPr>
          <w:p>
            <w:pPr>
              <w:pStyle w:val="TableText"/>
            </w:pPr>
            <w:r>
              <w:t xml:space="preserve">OUTCOME_UNKNOWN; attempts and last broker truth</w:t>
            </w:r>
          </w:p>
        </w:tc>
      </w:tr>
      <w:tr>
        <w:trPr>
          <w:cantSplit/>
        </w:trPr>
        <w:tc>
          <w:tcPr>
            <w:tcW w:w="2200" w:type="dxa"/>
            <w:shd w:fill="F0F5F7"/>
          </w:tcPr>
          <w:p>
            <w:pPr>
              <w:pStyle w:val="TableText"/>
            </w:pPr>
            <w:r>
              <w:t xml:space="preserve">Sheets / UI unavailable</w:t>
            </w:r>
          </w:p>
        </w:tc>
        <w:tc>
          <w:tcPr>
            <w:tcW w:w="2650" w:type="dxa"/>
            <w:shd w:fill="F0F5F7"/>
          </w:tcPr>
          <w:p>
            <w:pPr>
              <w:pStyle w:val="TableText"/>
            </w:pPr>
            <w:r>
              <w:t xml:space="preserve">No unverified queued approvals on reconnect</w:t>
            </w:r>
          </w:p>
        </w:tc>
        <w:tc>
          <w:tcPr>
            <w:tcW w:w="2800" w:type="dxa"/>
            <w:shd w:fill="F0F5F7"/>
          </w:tcPr>
          <w:p>
            <w:pPr>
              <w:pStyle w:val="TableText"/>
            </w:pPr>
            <w:r>
              <w:t xml:space="preserve">Backend may continue admitted bounded work and reconciliation</w:t>
            </w:r>
          </w:p>
        </w:tc>
        <w:tc>
          <w:tcPr>
            <w:tcW w:w="2384" w:type="dxa"/>
            <w:shd w:fill="F0F5F7"/>
          </w:tcPr>
          <w:p>
            <w:pPr>
              <w:pStyle w:val="TableText"/>
            </w:pPr>
            <w:r>
              <w:t xml:space="preserve">Client stale/disconnected; backend status separately</w:t>
            </w:r>
          </w:p>
        </w:tc>
      </w:tr>
      <w:tr>
        <w:trPr>
          <w:cantSplit/>
        </w:trPr>
        <w:tc>
          <w:tcPr>
            <w:tcW w:w="2200" w:type="dxa"/>
            <w:shd w:fill="FFFFFF"/>
          </w:tcPr>
          <w:p>
            <w:pPr>
              <w:pStyle w:val="TableText"/>
            </w:pPr>
            <w:r>
              <w:t xml:space="preserve">TI Monitoring unavailable</w:t>
            </w:r>
          </w:p>
        </w:tc>
        <w:tc>
          <w:tcPr>
            <w:tcW w:w="2650" w:type="dxa"/>
            <w:shd w:fill="FFFFFF"/>
          </w:tcPr>
          <w:p>
            <w:pPr>
              <w:pStyle w:val="TableText"/>
            </w:pPr>
            <w:r>
              <w:t xml:space="preserve">No claim of fresh recurring validation</w:t>
            </w:r>
          </w:p>
        </w:tc>
        <w:tc>
          <w:tcPr>
            <w:tcW w:w="2800" w:type="dxa"/>
            <w:shd w:fill="FFFFFF"/>
          </w:tcPr>
          <w:p>
            <w:pPr>
              <w:pStyle w:val="TableText"/>
            </w:pPr>
            <w:r>
              <w:t xml:space="preserve">TM operational controls remain independent; advice can become overdue</w:t>
            </w:r>
          </w:p>
        </w:tc>
        <w:tc>
          <w:tcPr>
            <w:tcW w:w="2384" w:type="dxa"/>
            <w:shd w:fill="FFFFFF"/>
          </w:tcPr>
          <w:p>
            <w:pPr>
              <w:pStyle w:val="TableText"/>
            </w:pPr>
            <w:r>
              <w:t xml:space="preserve">Last actual evaluation, expiry, overdue / NOT_ACTIVE</w:t>
            </w:r>
          </w:p>
        </w:tc>
      </w:tr>
      <w:tr>
        <w:trPr>
          <w:cantSplit/>
        </w:trPr>
        <w:tc>
          <w:tcPr>
            <w:tcW w:w="2200" w:type="dxa"/>
            <w:shd w:fill="F0F5F7"/>
          </w:tcPr>
          <w:p>
            <w:pPr>
              <w:pStyle w:val="TableText"/>
            </w:pPr>
            <w:r>
              <w:t xml:space="preserve">Budget exhausted / unknown usage</w:t>
            </w:r>
          </w:p>
        </w:tc>
        <w:tc>
          <w:tcPr>
            <w:tcW w:w="2650" w:type="dxa"/>
            <w:shd w:fill="F0F5F7"/>
          </w:tcPr>
          <w:p>
            <w:pPr>
              <w:pStyle w:val="TableText"/>
            </w:pPr>
            <w:r>
              <w:t xml:space="preserve">Explicit partial/blocked result per policy; required work not silently removed</w:t>
            </w:r>
          </w:p>
        </w:tc>
        <w:tc>
          <w:tcPr>
            <w:tcW w:w="2800" w:type="dxa"/>
            <w:shd w:fill="F0F5F7"/>
          </w:tcPr>
          <w:p>
            <w:pPr>
              <w:pStyle w:val="TableText"/>
            </w:pPr>
            <w:r>
              <w:t xml:space="preserve">Keep reservations and attempt lineage for reconciliation</w:t>
            </w:r>
          </w:p>
        </w:tc>
        <w:tc>
          <w:tcPr>
            <w:tcW w:w="2384" w:type="dxa"/>
            <w:shd w:fill="F0F5F7"/>
          </w:tcPr>
          <w:p>
            <w:pPr>
              <w:pStyle w:val="TableText"/>
            </w:pPr>
            <w:r>
              <w:t xml:space="preserve">Observed vs unknown usage; remaining admissible budget</w:t>
            </w:r>
          </w:p>
        </w:tc>
      </w:tr>
    </w:tbl>
    <w:p>
      <w:pPr>
        <w:pStyle w:val="Spacer"/>
      </w:pPr>
      <w:r>
        <w:t xml:space="preserve"/>
      </w:r>
    </w:p>
    <w:p>
      <w:pPr>
        <w:pStyle w:val="Callout"/>
      </w:pPr>
      <w:r>
        <w:t xml:space="preserve">Failure isolation is not fail-open permission. “Continue managing” means within current rights and observable truth—not guaranteed execution.</w:t>
      </w:r>
    </w:p>
    <w:p>
      <w:pPr>
        <w:pStyle w:val="Source"/>
      </w:pPr>
      <w:r>
        <w:t xml:space="preserve">READ WITH  Ecosystem §11; Monitoring §§8,11; pluggability §11</w:t>
      </w:r>
    </w:p>
    <w:p>
      <w:pPr>
        <w:pStyle w:val="Eyebrow"/>
        <w:pageBreakBefore/>
      </w:pPr>
      <w:r>
        <w:t xml:space="preserve">III • PLUGGABILITY  /  ACCEPTED DESIGN</w:t>
      </w:r>
    </w:p>
    <w:p>
      <w:pPr>
        <w:pStyle w:val="Heading1"/>
      </w:pPr>
      <w:r>
        <w:t xml:space="preserve">Replace components, preserve meaning</w:t>
      </w:r>
    </w:p>
    <w:p>
      <w:pPr>
        <w:jc w:val="center"/>
        <w:keepNext/>
      </w:pPr>
      <w:r>
        <w:drawing>
          <wp:inline distT="0" distB="0" distL="0" distR="0">
            <wp:extent cx="6327648" cy="3339592"/>
            <wp:docPr id="29" name="Figure 29" descr="Nested guarantee diagram: structural replaceability contains cold configuration, which contains hot change with stronger safety constraints. HOT implies COLD implies STRUCTURAL; no reverse implication."/>
            <a:graphic>
              <a:graphicData uri="http://schemas.openxmlformats.org/drawingml/2006/picture">
                <pic:pic>
                  <pic:nvPicPr>
                    <pic:cNvPr id="0" name="pluggability.png" descr="Nested guarantee diagram: structural replaceability contains cold configuration, which contains hot change with stronger safety constraints. HOT implies COLD implies STRUCTURAL; no reverse implication."/>
                    <pic:cNvPicPr/>
                  </pic:nvPicPr>
                  <pic:blipFill>
                    <a:blip r:embed="rIdImg29"/>
                    <a:stretch>
                      <a:fillRect/>
                    </a:stretch>
                  </pic:blipFill>
                  <pic:spPr>
                    <a:xfrm>
                      <a:off x="0" y="0"/>
                      <a:ext cx="6327648" cy="3339592"/>
                    </a:xfrm>
                    <a:prstGeom prst="rect">
                      <a:avLst/>
                    </a:prstGeom>
                  </pic:spPr>
                </pic:pic>
              </a:graphicData>
            </a:graphic>
          </wp:inline>
        </w:drawing>
      </w:r>
    </w:p>
    <w:p>
      <w:pPr>
        <w:pStyle w:val="Caption"/>
      </w:pPr>
      <w:r>
        <w:t xml:space="preserve">Figure 29. Stronger replacement guarantees contain weaker ones; requiredness is separate.</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4200"/>
        <w:gridCol w:w="5834"/>
      </w:tblGrid>
      <w:tr>
        <w:trPr>
          <w:cantSplit/>
          <w:tblHeader/>
        </w:trPr>
        <w:tc>
          <w:tcPr>
            <w:tcW w:w="4200" w:type="dxa"/>
            <w:shd w:fill="17324D"/>
          </w:tcPr>
          <w:p>
            <w:pPr>
              <w:pStyle w:val="TableHead"/>
            </w:pPr>
            <w:r>
              <w:t xml:space="preserve">Component family</w:t>
            </w:r>
          </w:p>
        </w:tc>
        <w:tc>
          <w:tcPr>
            <w:tcW w:w="5834" w:type="dxa"/>
            <w:shd w:fill="17324D"/>
          </w:tcPr>
          <w:p>
            <w:pPr>
              <w:pStyle w:val="TableHead"/>
            </w:pPr>
            <w:r>
              <w:t xml:space="preserve">Boundary to preserve</w:t>
            </w:r>
          </w:p>
        </w:tc>
      </w:tr>
      <w:tr>
        <w:trPr>
          <w:cantSplit/>
        </w:trPr>
        <w:tc>
          <w:tcPr>
            <w:tcW w:w="4200" w:type="dxa"/>
            <w:shd w:fill="F0F5F7"/>
          </w:tcPr>
          <w:p>
            <w:pPr>
              <w:pStyle w:val="TableText"/>
            </w:pPr>
            <w:r>
              <w:t xml:space="preserve">Scanner / broker adapters</w:t>
            </w:r>
          </w:p>
        </w:tc>
        <w:tc>
          <w:tcPr>
            <w:tcW w:w="5834" w:type="dxa"/>
            <w:shd w:fill="F0F5F7"/>
          </w:tcPr>
          <w:p>
            <w:pPr>
              <w:pStyle w:val="TableText"/>
            </w:pPr>
            <w:r>
              <w:t xml:space="preserve">Source normalization vs TM execution adapter authority</w:t>
            </w:r>
          </w:p>
        </w:tc>
      </w:tr>
      <w:tr>
        <w:trPr>
          <w:cantSplit/>
        </w:trPr>
        <w:tc>
          <w:tcPr>
            <w:tcW w:w="4200" w:type="dxa"/>
            <w:shd w:fill="FFFFFF"/>
          </w:tcPr>
          <w:p>
            <w:pPr>
              <w:pStyle w:val="TableText"/>
            </w:pPr>
            <w:r>
              <w:t xml:space="preserve">TI capability / model provider</w:t>
            </w:r>
          </w:p>
        </w:tc>
        <w:tc>
          <w:tcPr>
            <w:tcW w:w="5834" w:type="dxa"/>
            <w:shd w:fill="FFFFFF"/>
          </w:tcPr>
          <w:p>
            <w:pPr>
              <w:pStyle w:val="TableText"/>
            </w:pPr>
            <w:r>
              <w:t xml:space="preserve">Declared scope, evidence semantics, bounded usage and replay identity</w:t>
            </w:r>
          </w:p>
        </w:tc>
      </w:tr>
      <w:tr>
        <w:trPr>
          <w:cantSplit/>
        </w:trPr>
        <w:tc>
          <w:tcPr>
            <w:tcW w:w="4200" w:type="dxa"/>
            <w:shd w:fill="F0F5F7"/>
          </w:tcPr>
          <w:p>
            <w:pPr>
              <w:pStyle w:val="TableText"/>
            </w:pPr>
            <w:r>
              <w:t xml:space="preserve">Scheduler / Sheets connector / UI panels</w:t>
            </w:r>
          </w:p>
        </w:tc>
        <w:tc>
          <w:tcPr>
            <w:tcW w:w="5834" w:type="dxa"/>
            <w:shd w:fill="F0F5F7"/>
          </w:tcPr>
          <w:p>
            <w:pPr>
              <w:pStyle w:val="TableText"/>
            </w:pPr>
            <w:r>
              <w:t xml:space="preserve">Admitted mandate semantics, scoped requests and faithful projections</w:t>
            </w:r>
          </w:p>
        </w:tc>
      </w:tr>
    </w:tbl>
    <w:p>
      <w:pPr>
        <w:pStyle w:val="Spacer"/>
      </w:pPr>
      <w:r>
        <w:t xml:space="preserve"/>
      </w:r>
    </w:p>
    <w:p>
      <w:pPr>
        <w:pStyle w:val="Normal"/>
      </w:pPr>
      <w:r>
        <w:t xml:space="preserve">No HOT requirement is imposed merely because a component is pluggable. R1 preserves required-scope absence today; broader R2–R5 work is still pending. A configured-but-unready component and an unavailable required capability are not equivalent to an optional component that was never requested.</w:t>
      </w:r>
    </w:p>
    <w:p>
      <w:pPr>
        <w:pStyle w:val="Source"/>
      </w:pPr>
      <w:r>
        <w:t xml:space="preserve">READ WITH  TIAF_PLUGGABILITY_ARCHITECTURE.md §§2–6,13–17</w:t>
      </w:r>
    </w:p>
    <w:p>
      <w:pPr>
        <w:pStyle w:val="Eyebrow"/>
        <w:pageBreakBefore/>
      </w:pPr>
      <w:r>
        <w:t xml:space="preserve">CHAPTER IV  /  CHAPTER DIVIDER</w:t>
      </w:r>
    </w:p>
    <w:p>
      <w:pPr>
        <w:pStyle w:val="Heading1"/>
      </w:pPr>
      <w:r>
        <w:t xml:space="preserve">Follow the objects through a day</w:t>
      </w:r>
    </w:p>
    <w:p>
      <w:pPr>
        <w:pStyle w:val="Lead"/>
      </w:pPr>
      <w:r>
        <w:t xml:space="preserve">Six constructed scenarios test the mental model—including stops and failures.</w:t>
      </w:r>
    </w:p>
    <w:p>
      <w:pPr>
        <w:jc w:val="center"/>
        <w:keepNext/>
      </w:pPr>
      <w:r>
        <w:drawing>
          <wp:inline distT="0" distB="0" distL="0" distR="0">
            <wp:extent cx="6327648" cy="2144369"/>
            <wp:docPr id="30" name="Figure 30" descr="Scenario map includes intraday KAYNES, positional RELIANCE, manual adoption, conflicting opinions, TI outage and multiple scanners."/>
            <a:graphic>
              <a:graphicData uri="http://schemas.openxmlformats.org/drawingml/2006/picture">
                <pic:pic>
                  <pic:nvPicPr>
                    <pic:cNvPr id="0" name="part4.png" descr="Scenario map includes intraday KAYNES, positional RELIANCE, manual adoption, conflicting opinions, TI outage and multiple scanners."/>
                    <pic:cNvPicPr/>
                  </pic:nvPicPr>
                  <pic:blipFill>
                    <a:blip r:embed="rIdImg30"/>
                    <a:stretch>
                      <a:fillRect/>
                    </a:stretch>
                  </pic:blipFill>
                  <pic:spPr>
                    <a:xfrm>
                      <a:off x="0" y="0"/>
                      <a:ext cx="6327648" cy="2144369"/>
                    </a:xfrm>
                    <a:prstGeom prst="rect">
                      <a:avLst/>
                    </a:prstGeom>
                  </pic:spPr>
                </pic:pic>
              </a:graphicData>
            </a:graphic>
          </wp:inline>
        </w:drawing>
      </w:r>
    </w:p>
    <w:p>
      <w:pPr>
        <w:pStyle w:val="Caption"/>
      </w:pPr>
      <w:r>
        <w:t xml:space="preserve">Figure 30. Worked cases explain the architecture; they are not market recommendations.</w:t>
      </w:r>
    </w:p>
    <w:p>
      <w:pPr>
        <w:pStyle w:val="Callout"/>
      </w:pPr>
      <w:r>
        <w:t xml:space="preserve">All case IDs, session times, market facts and quantities are illustrative. A named stock does not assert current eligibility, liquidity, listing availability or a live assessment.</w:t>
      </w:r>
    </w:p>
    <w:p>
      <w:pPr>
        <w:pStyle w:val="Normal"/>
      </w:pPr>
      <w:r>
        <w:t xml:space="preserve">The cases assume future integrations have passed their own acceptance gates. Current A5 advice and captured replay boundaries remain unchanged. Dates use a hypothetical session and Asia/Kolkata; no P&amp;L trajectory or probability is forecast.</w:t>
      </w:r>
    </w:p>
    <w:p>
      <w:pPr>
        <w:pStyle w:val="Eyebrow"/>
        <w:pageBreakBefore/>
      </w:pPr>
      <w:r>
        <w:t xml:space="preserve">IV • CASE A / 1  /  ILLUSTRATIVE FUTURE WORKFLOW</w:t>
      </w:r>
    </w:p>
    <w:p>
      <w:pPr>
        <w:pStyle w:val="Heading1"/>
      </w:pPr>
      <w:r>
        <w:t xml:space="preserve">KAYNES: from proposal to filled exposure</w:t>
      </w:r>
    </w:p>
    <w:p>
      <w:pPr>
        <w:jc w:val="center"/>
        <w:keepNext/>
      </w:pPr>
      <w:r>
        <w:drawing>
          <wp:inline distT="0" distB="0" distL="0" distR="0">
            <wp:extent cx="6327648" cy="3093516"/>
            <wp:docPr id="31" name="Figure 31" descr="KAYNES future case: Scanner C17-r2, TI supportive thesis T8, A6 symbolic CE expression X3, TM approval G5/action I6, broker fill F2/position BP7 and TM operational position P42."/>
            <a:graphic>
              <a:graphicData uri="http://schemas.openxmlformats.org/drawingml/2006/picture">
                <pic:pic>
                  <pic:nvPicPr>
                    <pic:cNvPr id="0" name="kaynes-entry.png" descr="KAYNES future case: Scanner C17-r2, TI supportive thesis T8, A6 symbolic CE expression X3, TM approval G5/action I6, broker fill F2/position BP7 and TM operational position P42."/>
                    <pic:cNvPicPr/>
                  </pic:nvPicPr>
                  <pic:blipFill>
                    <a:blip r:embed="rIdImg31"/>
                    <a:stretch>
                      <a:fillRect/>
                    </a:stretch>
                  </pic:blipFill>
                  <pic:spPr>
                    <a:xfrm>
                      <a:off x="0" y="0"/>
                      <a:ext cx="6327648" cy="3093516"/>
                    </a:xfrm>
                    <a:prstGeom prst="rect">
                      <a:avLst/>
                    </a:prstGeom>
                  </pic:spPr>
                </pic:pic>
              </a:graphicData>
            </a:graphic>
          </wp:inline>
        </w:drawing>
      </w:r>
    </w:p>
    <w:p>
      <w:pPr>
        <w:pStyle w:val="Caption"/>
      </w:pPr>
      <w:r>
        <w:t xml:space="preserve">Figure 31. Every step names both the owning component and the object it produces.</w:t>
      </w:r>
    </w:p>
    <w:p>
      <w:pPr>
        <w:pStyle w:val="Normal"/>
      </w:pPr>
      <w:r>
        <w:t xml:space="preserve">Assume a future accepted A6 policy supports this exact instrument and exposure side; the thesis does not choose a strike, expiry, lot size or current long/short permission. TM remains responsible for actual quantity and account eligibility. Any failed required check stops entry even when the underlying thesis is SUPPORTIVE.</w:t>
      </w:r>
    </w:p>
    <w:p>
      <w:pPr>
        <w:pStyle w:val="Source"/>
      </w:pPr>
      <w:r>
        <w:t xml:space="preserve">READ WITH  Case continues on next page; ecosystem §§6–8</w:t>
      </w:r>
    </w:p>
    <w:p>
      <w:pPr>
        <w:pStyle w:val="Eyebrow"/>
        <w:pageBreakBefore/>
      </w:pPr>
      <w:r>
        <w:t xml:space="preserve">IV • CASE A / 2  /  ILLUSTRATIVE FUTURE WORKFLOW</w:t>
      </w:r>
    </w:p>
    <w:p>
      <w:pPr>
        <w:pStyle w:val="Heading1"/>
      </w:pPr>
      <w:r>
        <w:t xml:space="preserve">KAYNES: MAINTAIN → PROTECT → exit advice</w:t>
      </w:r>
    </w:p>
    <w:p>
      <w:pPr>
        <w:jc w:val="center"/>
        <w:keepNext/>
      </w:pPr>
      <w:r>
        <w:drawing>
          <wp:inline distT="0" distB="0" distL="0" distR="0">
            <wp:extent cx="6327648" cy="3093516"/>
            <wp:docPr id="32" name="Figure 32" descr="After TM requests monitoring, three hypothetical A5 runs return MAINTAIN, PROTECT and EXIT_RECOMMENDED. TM separately checks and decides protection/exit actions; broker outcomes determine resulting exposure."/>
            <a:graphic>
              <a:graphicData uri="http://schemas.openxmlformats.org/drawingml/2006/picture">
                <pic:pic>
                  <pic:nvPicPr>
                    <pic:cNvPr id="0" name="kaynes-monitor.png" descr="After TM requests monitoring, three hypothetical A5 runs return MAINTAIN, PROTECT and EXIT_RECOMMENDED. TM separately checks and decides protection/exit actions; broker outcomes determine resulting exposure."/>
                    <pic:cNvPicPr/>
                  </pic:nvPicPr>
                  <pic:blipFill>
                    <a:blip r:embed="rIdImg32"/>
                    <a:stretch>
                      <a:fillRect/>
                    </a:stretch>
                  </pic:blipFill>
                  <pic:spPr>
                    <a:xfrm>
                      <a:off x="0" y="0"/>
                      <a:ext cx="6327648" cy="3093516"/>
                    </a:xfrm>
                    <a:prstGeom prst="rect">
                      <a:avLst/>
                    </a:prstGeom>
                  </pic:spPr>
                </pic:pic>
              </a:graphicData>
            </a:graphic>
          </wp:inline>
        </w:drawing>
      </w:r>
    </w:p>
    <w:p>
      <w:pPr>
        <w:pStyle w:val="Caption"/>
      </w:pPr>
      <w:r>
        <w:t xml:space="preserve">Figure 32. Each advice result is a new A5 run over new supplied truth, not an automatic transition.</w:t>
      </w:r>
    </w:p>
    <w:p>
      <w:pPr>
        <w:pStyle w:val="Normal"/>
      </w:pPr>
      <w:r>
        <w:t xml:space="preserve">At any evaluation, stale/unknown truth can produce ABSTAIN; missing thesis can produce INSUFFICIENT_EVIDENCE; confirmation needs can produce WAIT_FOR_CONFIRMATION. PROTECT does not certify a stop is installed. EXIT_RECOMMENDED does not close P42: TM must receive and reconcile actual broker fills, then terminate or revise the relevant monitoring intent.</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3400"/>
        <w:gridCol w:w="6634"/>
      </w:tblGrid>
      <w:tr>
        <w:trPr>
          <w:cantSplit/>
          <w:tblHeader/>
        </w:trPr>
        <w:tc>
          <w:tcPr>
            <w:tcW w:w="3400" w:type="dxa"/>
            <w:shd w:fill="17324D"/>
          </w:tcPr>
          <w:p>
            <w:pPr>
              <w:pStyle w:val="TableHead"/>
            </w:pPr>
            <w:r>
              <w:t xml:space="preserve">Illustrative record</w:t>
            </w:r>
          </w:p>
        </w:tc>
        <w:tc>
          <w:tcPr>
            <w:tcW w:w="6634" w:type="dxa"/>
            <w:shd w:fill="17324D"/>
          </w:tcPr>
          <w:p>
            <w:pPr>
              <w:pStyle w:val="TableHead"/>
            </w:pPr>
            <w:r>
              <w:t xml:space="preserve">Evidence / ownership to inspect</w:t>
            </w:r>
          </w:p>
        </w:tc>
      </w:tr>
      <w:tr>
        <w:trPr>
          <w:cantSplit/>
        </w:trPr>
        <w:tc>
          <w:tcPr>
            <w:tcW w:w="3400" w:type="dxa"/>
            <w:shd w:fill="F0F5F7"/>
          </w:tcPr>
          <w:p>
            <w:pPr>
              <w:pStyle w:val="TableText"/>
            </w:pPr>
            <w:r>
              <w:t xml:space="preserve">S1 → Advice-1 / MAINTAIN</w:t>
            </w:r>
          </w:p>
        </w:tc>
        <w:tc>
          <w:tcPr>
            <w:tcW w:w="6634" w:type="dxa"/>
            <w:shd w:fill="F0F5F7"/>
          </w:tcPr>
          <w:p>
            <w:pPr>
              <w:pStyle w:val="TableText"/>
            </w:pPr>
            <w:r>
              <w:t xml:space="preserve">TI: intact supported thesis; TM: current position snapshot. Both references remain in the A5 capture.</w:t>
            </w:r>
          </w:p>
        </w:tc>
      </w:tr>
      <w:tr>
        <w:trPr>
          <w:cantSplit/>
        </w:trPr>
        <w:tc>
          <w:tcPr>
            <w:tcW w:w="3400" w:type="dxa"/>
            <w:shd w:fill="FFFFFF"/>
          </w:tcPr>
          <w:p>
            <w:pPr>
              <w:pStyle w:val="TableText"/>
            </w:pPr>
            <w:r>
              <w:t xml:space="preserve">S2 → Advice-2 / PROTECT</w:t>
            </w:r>
          </w:p>
        </w:tc>
        <w:tc>
          <w:tcPr>
            <w:tcW w:w="6634" w:type="dxa"/>
            <w:shd w:fill="FFFFFF"/>
          </w:tcPr>
          <w:p>
            <w:pPr>
              <w:pStyle w:val="TableText"/>
            </w:pPr>
            <w:r>
              <w:t xml:space="preserve">TI: cited weakening/protection basis. TM: separate protection decision and observed broker-order status—not an inferred stop.</w:t>
            </w:r>
          </w:p>
        </w:tc>
      </w:tr>
      <w:tr>
        <w:trPr>
          <w:cantSplit/>
        </w:trPr>
        <w:tc>
          <w:tcPr>
            <w:tcW w:w="3400" w:type="dxa"/>
            <w:shd w:fill="F0F5F7"/>
          </w:tcPr>
          <w:p>
            <w:pPr>
              <w:pStyle w:val="TableText"/>
            </w:pPr>
            <w:r>
              <w:t xml:space="preserve">S3 → Advice-3 / EXIT_RECOMMENDED</w:t>
            </w:r>
          </w:p>
        </w:tc>
        <w:tc>
          <w:tcPr>
            <w:tcW w:w="6634" w:type="dxa"/>
            <w:shd w:fill="F0F5F7"/>
          </w:tcPr>
          <w:p>
            <w:pPr>
              <w:pStyle w:val="TableText"/>
            </w:pPr>
            <w:r>
              <w:t xml:space="preserve">TI: cited invalidation/horizon-risk reason. TM: new authorized exit intent. Broker: actual exit fill before closed exposure is recorded.</w:t>
            </w:r>
          </w:p>
        </w:tc>
      </w:tr>
    </w:tbl>
    <w:p>
      <w:pPr>
        <w:pStyle w:val="Spacer"/>
      </w:pPr>
      <w:r>
        <w:t xml:space="preserve"/>
      </w:r>
    </w:p>
    <w:p>
      <w:pPr>
        <w:pStyle w:val="Source"/>
      </w:pPr>
      <w:r>
        <w:t xml:space="preserve">READ WITH  A5 architecture §§3–7,11; Monitoring §§5,7–8</w:t>
      </w:r>
    </w:p>
    <w:p>
      <w:pPr>
        <w:pStyle w:val="Eyebrow"/>
        <w:pageBreakBefore/>
      </w:pPr>
      <w:r>
        <w:t xml:space="preserve">IV • CASE B  /  ILLUSTRATIVE FUTURE INTEGRATION</w:t>
      </w:r>
    </w:p>
    <w:p>
      <w:pPr>
        <w:pStyle w:val="Heading1"/>
      </w:pPr>
      <w:r>
        <w:t xml:space="preserve">RELIANCE: positional equity without false A6</w:t>
      </w:r>
    </w:p>
    <w:p>
      <w:pPr>
        <w:jc w:val="center"/>
        <w:keepNext/>
      </w:pPr>
      <w:r>
        <w:drawing>
          <wp:inline distT="0" distB="0" distL="0" distR="0">
            <wp:extent cx="6327648" cy="2882595"/>
            <wp:docPr id="33" name="Figure 33" descr="RELIANCE positional case moves from subscriber watchlist through scanner and TI/A4 to an approved TM equity path, broker fill and multi-day A5 monitoring, explicitly bypassing options-only A6."/>
            <a:graphic>
              <a:graphicData uri="http://schemas.openxmlformats.org/drawingml/2006/picture">
                <pic:pic>
                  <pic:nvPicPr>
                    <pic:cNvPr id="0" name="reliance.png" descr="RELIANCE positional case moves from subscriber watchlist through scanner and TI/A4 to an approved TM equity path, broker fill and multi-day A5 monitoring, explicitly bypassing options-only A6."/>
                    <pic:cNvPicPr/>
                  </pic:nvPicPr>
                  <pic:blipFill>
                    <a:blip r:embed="rIdImg33"/>
                    <a:stretch>
                      <a:fillRect/>
                    </a:stretch>
                  </pic:blipFill>
                  <pic:spPr>
                    <a:xfrm>
                      <a:off x="0" y="0"/>
                      <a:ext cx="6327648" cy="2882595"/>
                    </a:xfrm>
                    <a:prstGeom prst="rect">
                      <a:avLst/>
                    </a:prstGeom>
                  </pic:spPr>
                </pic:pic>
              </a:graphicData>
            </a:graphic>
          </wp:inline>
        </w:drawing>
      </w:r>
    </w:p>
    <w:p>
      <w:pPr>
        <w:pStyle w:val="Caption"/>
      </w:pPr>
      <w:r>
        <w:t xml:space="preserve">Figure 33. A valid equity path need not masquerade as an option-expression result.</w:t>
      </w:r>
    </w:p>
    <w:p>
      <w:pPr>
        <w:pStyle w:val="Normal"/>
      </w:pPr>
      <w:r>
        <w:t xml:space="preserve">Suppose the first A5 result is MAINTAIN and later evidence weakens the thesis. TI produces a new attributed recommendation, not a rewritten original thesis. An overnight gap or stale mark cannot be treated as fresh just because the mandate horizon spans several days. TM rechecks current broker truth and authority before responding.</w:t>
      </w:r>
    </w:p>
    <w:p>
      <w:pPr>
        <w:pStyle w:val="Source"/>
      </w:pPr>
      <w:r>
        <w:t xml:space="preserve">READ WITH  Ecosystem §§5–8; Monitoring clocks and calendar gate</w:t>
      </w:r>
    </w:p>
    <w:p>
      <w:pPr>
        <w:pStyle w:val="Eyebrow"/>
        <w:pageBreakBefore/>
      </w:pPr>
      <w:r>
        <w:t xml:space="preserve">IV • CASE C  /  ILLUSTRATIVE FUTURE INTEGRATION</w:t>
      </w:r>
    </w:p>
    <w:p>
      <w:pPr>
        <w:pStyle w:val="Heading1"/>
      </w:pPr>
      <w:r>
        <w:t xml:space="preserve">HDFCBANK: adopting a manual broker position</w:t>
      </w:r>
    </w:p>
    <w:p>
      <w:pPr>
        <w:jc w:val="center"/>
        <w:keepNext/>
      </w:pPr>
      <w:r>
        <w:drawing>
          <wp:inline distT="0" distB="0" distL="0" distR="0">
            <wp:extent cx="6327648" cy="3128670"/>
            <wp:docPr id="34" name="Figure 34" descr="Six-step manual HDFCBANK adoption case preserves external origin, requires scoped operator request and TM reconciliation, and does not fabricate missing TI thesis evidence."/>
            <a:graphic>
              <a:graphicData uri="http://schemas.openxmlformats.org/drawingml/2006/picture">
                <pic:pic>
                  <pic:nvPicPr>
                    <pic:cNvPr id="0" name="manual-case.png" descr="Six-step manual HDFCBANK adoption case preserves external origin, requires scoped operator request and TM reconciliation, and does not fabricate missing TI thesis evidence."/>
                    <pic:cNvPicPr/>
                  </pic:nvPicPr>
                  <pic:blipFill>
                    <a:blip r:embed="rIdImg34"/>
                    <a:stretch>
                      <a:fillRect/>
                    </a:stretch>
                  </pic:blipFill>
                  <pic:spPr>
                    <a:xfrm>
                      <a:off x="0" y="0"/>
                      <a:ext cx="6327648" cy="3128670"/>
                    </a:xfrm>
                    <a:prstGeom prst="rect">
                      <a:avLst/>
                    </a:prstGeom>
                  </pic:spPr>
                </pic:pic>
              </a:graphicData>
            </a:graphic>
          </wp:inline>
        </w:drawing>
      </w:r>
    </w:p>
    <w:p>
      <w:pPr>
        <w:pStyle w:val="Caption"/>
      </w:pPr>
      <w:r>
        <w:t xml:space="preserve">Figure 34. The lineage starts with an external broker observation, not a fictional scanner event.</w:t>
      </w:r>
    </w:p>
    <w:p>
      <w:pPr>
        <w:pStyle w:val="Normal"/>
      </w:pPr>
      <w:r>
        <w:t xml:space="preserve">A later independently admitted TI evaluation may supply thesis evidence for a successor A5 run. That analytical work does not retroactively make the original manual trade TI-validated. TM’s adoption log records what was known and permitted at adoption time.</w:t>
      </w:r>
    </w:p>
    <w:p>
      <w:pPr>
        <w:pStyle w:val="Source"/>
      </w:pPr>
      <w:r>
        <w:t xml:space="preserve">READ WITH  Ecosystem §8; A5 insufficient-evidence and freshness rules</w:t>
      </w:r>
    </w:p>
    <w:p>
      <w:pPr>
        <w:pStyle w:val="Eyebrow"/>
        <w:pageBreakBefore/>
      </w:pPr>
      <w:r>
        <w:t xml:space="preserve">IV • CASE D  /  ILLUSTRATIVE CONFLICT</w:t>
      </w:r>
    </w:p>
    <w:p>
      <w:pPr>
        <w:pStyle w:val="Heading1"/>
      </w:pPr>
      <w:r>
        <w:t xml:space="preserve">Scanner BUY, TI WAIT</w:t>
      </w:r>
    </w:p>
    <w:p>
      <w:pPr>
        <w:jc w:val="center"/>
        <w:keepNext/>
      </w:pPr>
      <w:r>
        <w:drawing>
          <wp:inline distT="0" distB="0" distL="0" distR="0">
            <wp:extent cx="6327648" cy="2249830"/>
            <wp:docPr id="35" name="Figure 35" descr="Scanner bullish source score and TI WAIT coexist. Under TI_REQUIRED, TM blocks entry while discovery remains active and fresh TI reasons remain visible."/>
            <a:graphic>
              <a:graphicData uri="http://schemas.openxmlformats.org/drawingml/2006/picture">
                <pic:pic>
                  <pic:nvPicPr>
                    <pic:cNvPr id="0" name="conflict.png" descr="Scanner bullish source score and TI WAIT coexist. Under TI_REQUIRED, TM blocks entry while discovery remains active and fresh TI reasons remain visible."/>
                    <pic:cNvPicPr/>
                  </pic:nvPicPr>
                  <pic:blipFill>
                    <a:blip r:embed="rIdImg35"/>
                    <a:stretch>
                      <a:fillRect/>
                    </a:stretch>
                  </pic:blipFill>
                  <pic:spPr>
                    <a:xfrm>
                      <a:off x="0" y="0"/>
                      <a:ext cx="6327648" cy="2249830"/>
                    </a:xfrm>
                    <a:prstGeom prst="rect">
                      <a:avLst/>
                    </a:prstGeom>
                  </pic:spPr>
                </pic:pic>
              </a:graphicData>
            </a:graphic>
          </wp:inline>
        </w:drawing>
      </w:r>
    </w:p>
    <w:p>
      <w:pPr>
        <w:pStyle w:val="Caption"/>
      </w:pPr>
      <w:r>
        <w:t xml:space="preserve">Figure 35. A disagreement is useful information, not a defect to tune away.</w:t>
      </w:r>
    </w:p>
    <w:p>
      <w:pPr>
        <w:pStyle w:val="Normal"/>
      </w:pPr>
      <w:r>
        <w:t xml:space="preserve">Do not average source score and TI confidence, call WAIT a provider outage, or rerun specialists until one produces SUPPORTIVE. A successor evaluation needs a bounded new trigger or changed admitted evidence and retains the prior disagreement. A2 NO_TRADE gates and declared blocking dispositions remain intact.</w:t>
      </w:r>
    </w:p>
    <w:p>
      <w:pPr>
        <w:pStyle w:val="Normal"/>
      </w:pPr>
      <w:r>
        <w:t xml:space="preserve">The future Signal Qualification layer must also preserve this acyclic discipline. Its output, if later implemented, names policy, scope and validity; it is not an unconditional “qualified to trade” badge.</w:t>
      </w:r>
    </w:p>
    <w:p>
      <w:pPr>
        <w:pStyle w:val="Callout"/>
      </w:pPr>
      <w:r>
        <w:t xml:space="preserve">Transparency is more valuable than making a live example look attractive.</w:t>
      </w:r>
    </w:p>
    <w:p>
      <w:pPr>
        <w:pStyle w:val="Source"/>
      </w:pPr>
      <w:r>
        <w:t xml:space="preserve">READ WITH  Ecosystem §§3,6–7; A2 benchmark and A4 preservation principles</w:t>
      </w:r>
    </w:p>
    <w:p>
      <w:pPr>
        <w:pStyle w:val="Eyebrow"/>
        <w:pageBreakBefore/>
      </w:pPr>
      <w:r>
        <w:t xml:space="preserve">IV • CASE E  /  ILLUSTRATIVE FAILURE SCENARIO</w:t>
      </w:r>
    </w:p>
    <w:p>
      <w:pPr>
        <w:pStyle w:val="Heading1"/>
      </w:pPr>
      <w:r>
        <w:t xml:space="preserve">TI outage: stop entry, preserve operations</w:t>
      </w:r>
    </w:p>
    <w:p>
      <w:pPr>
        <w:jc w:val="center"/>
        <w:keepNext/>
      </w:pPr>
      <w:r>
        <w:drawing>
          <wp:inline distT="0" distB="0" distL="0" distR="0">
            <wp:extent cx="6327648" cy="3234131"/>
            <wp:docPr id="36" name="Figure 36" descr="Three lanes under TI outage: required entries block, independently approved optional entries explicitly lack TI validation, and existing positions remain TM-managed within rights and available broker truth."/>
            <a:graphic>
              <a:graphicData uri="http://schemas.openxmlformats.org/drawingml/2006/picture">
                <pic:pic>
                  <pic:nvPicPr>
                    <pic:cNvPr id="0" name="outage-case.png" descr="Three lanes under TI outage: required entries block, independently approved optional entries explicitly lack TI validation, and existing positions remain TM-managed within rights and available broker truth."/>
                    <pic:cNvPicPr/>
                  </pic:nvPicPr>
                  <pic:blipFill>
                    <a:blip r:embed="rIdImg36"/>
                    <a:stretch>
                      <a:fillRect/>
                    </a:stretch>
                  </pic:blipFill>
                  <pic:spPr>
                    <a:xfrm>
                      <a:off x="0" y="0"/>
                      <a:ext cx="6327648" cy="3234131"/>
                    </a:xfrm>
                    <a:prstGeom prst="rect">
                      <a:avLst/>
                    </a:prstGeom>
                  </pic:spPr>
                </pic:pic>
              </a:graphicData>
            </a:graphic>
          </wp:inline>
        </w:drawing>
      </w:r>
    </w:p>
    <w:p>
      <w:pPr>
        <w:pStyle w:val="Caption"/>
      </w:pPr>
      <w:r>
        <w:t xml:space="preserve">Figure 36. An outage changes availability, not the meaning of required scope or authority.</w:t>
      </w:r>
    </w:p>
    <w:p>
      <w:pPr>
        <w:pStyle w:val="Normal"/>
      </w:pPr>
      <w:r>
        <w:t xml:space="preserve">Recovery creates newly admitted evaluations and current TM reviews. It does not replay queued client approvals automatically. A prior unfavorable TI result stays recorded; optional missing-data handling cannot hide a known policy veto by treating it as unavailability.</w:t>
      </w:r>
    </w:p>
    <w:p>
      <w:pPr>
        <w:pStyle w:val="Source"/>
      </w:pPr>
      <w:r>
        <w:t xml:space="preserve">READ WITH  Ecosystem §§7,11; Monitoring failure isolation</w:t>
      </w:r>
    </w:p>
    <w:p>
      <w:pPr>
        <w:pStyle w:val="Eyebrow"/>
        <w:pageBreakBefore/>
      </w:pPr>
      <w:r>
        <w:t xml:space="preserve">IV • CASE F  /  ILLUSTRATIVE DEDUPLICATION</w:t>
      </w:r>
    </w:p>
    <w:p>
      <w:pPr>
        <w:pStyle w:val="Heading1"/>
      </w:pPr>
      <w:r>
        <w:t xml:space="preserve">Two scanners, one symbol, distinct claims</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3550"/>
        <w:gridCol w:w="3000"/>
        <w:gridCol w:w="3484"/>
      </w:tblGrid>
      <w:tr>
        <w:trPr>
          <w:cantSplit/>
          <w:tblHeader/>
        </w:trPr>
        <w:tc>
          <w:tcPr>
            <w:tcW w:w="3550" w:type="dxa"/>
            <w:shd w:fill="17324D"/>
          </w:tcPr>
          <w:p>
            <w:pPr>
              <w:pStyle w:val="TableHead"/>
            </w:pPr>
            <w:r>
              <w:t xml:space="preserve">Incoming event</w:t>
            </w:r>
          </w:p>
        </w:tc>
        <w:tc>
          <w:tcPr>
            <w:tcW w:w="3000" w:type="dxa"/>
            <w:shd w:fill="17324D"/>
          </w:tcPr>
          <w:p>
            <w:pPr>
              <w:pStyle w:val="TableHead"/>
            </w:pPr>
            <w:r>
              <w:t xml:space="preserve">Receiver treatment</w:t>
            </w:r>
          </w:p>
        </w:tc>
        <w:tc>
          <w:tcPr>
            <w:tcW w:w="3484" w:type="dxa"/>
            <w:shd w:fill="17324D"/>
          </w:tcPr>
          <w:p>
            <w:pPr>
              <w:pStyle w:val="TableHead"/>
            </w:pPr>
            <w:r>
              <w:t xml:space="preserve">Meaning preserved</w:t>
            </w:r>
          </w:p>
        </w:tc>
      </w:tr>
      <w:tr>
        <w:trPr>
          <w:cantSplit/>
        </w:trPr>
        <w:tc>
          <w:tcPr>
            <w:tcW w:w="3550" w:type="dxa"/>
            <w:shd w:fill="F0F5F7"/>
          </w:tcPr>
          <w:p>
            <w:pPr>
              <w:pStyle w:val="TableText"/>
            </w:pPr>
            <w:r>
              <w:t xml:space="preserve">A / C17 / r2 / digest H2</w:t>
            </w:r>
            <w:r>
              <w:br/>
              <w:t xml:space="preserve">first receipt</w:t>
            </w:r>
          </w:p>
        </w:tc>
        <w:tc>
          <w:tcPr>
            <w:tcW w:w="3000" w:type="dxa"/>
            <w:shd w:fill="F0F5F7"/>
          </w:tcPr>
          <w:p>
            <w:pPr>
              <w:pStyle w:val="TableText"/>
            </w:pPr>
            <w:r>
              <w:t xml:space="preserve">Accept immutable candidate revision</w:t>
            </w:r>
          </w:p>
        </w:tc>
        <w:tc>
          <w:tcPr>
            <w:tcW w:w="3484" w:type="dxa"/>
            <w:shd w:fill="F0F5F7"/>
          </w:tcPr>
          <w:p>
            <w:pPr>
              <w:pStyle w:val="TableText"/>
            </w:pPr>
            <w:r>
              <w:t xml:space="preserve">Source A’s KAYNES assertion</w:t>
            </w:r>
          </w:p>
        </w:tc>
      </w:tr>
      <w:tr>
        <w:trPr>
          <w:cantSplit/>
        </w:trPr>
        <w:tc>
          <w:tcPr>
            <w:tcW w:w="3550" w:type="dxa"/>
            <w:shd w:fill="FFFFFF"/>
          </w:tcPr>
          <w:p>
            <w:pPr>
              <w:pStyle w:val="TableText"/>
            </w:pPr>
            <w:r>
              <w:t xml:space="preserve">A / C17 / r2 / digest H2</w:t>
            </w:r>
            <w:r>
              <w:br/>
              <w:t xml:space="preserve">repeated delivery</w:t>
            </w:r>
          </w:p>
        </w:tc>
        <w:tc>
          <w:tcPr>
            <w:tcW w:w="3000" w:type="dxa"/>
            <w:shd w:fill="FFFFFF"/>
          </w:tcPr>
          <w:p>
            <w:pPr>
              <w:pStyle w:val="TableText"/>
            </w:pPr>
            <w:r>
              <w:t xml:space="preserve">Idempotent duplicate; retain receipt record</w:t>
            </w:r>
          </w:p>
        </w:tc>
        <w:tc>
          <w:tcPr>
            <w:tcW w:w="3484" w:type="dxa"/>
            <w:shd w:fill="FFFFFF"/>
          </w:tcPr>
          <w:p>
            <w:pPr>
              <w:pStyle w:val="TableText"/>
            </w:pPr>
            <w:r>
              <w:t xml:space="preserve">One candidate, not a second signal</w:t>
            </w:r>
          </w:p>
        </w:tc>
      </w:tr>
      <w:tr>
        <w:trPr>
          <w:cantSplit/>
        </w:trPr>
        <w:tc>
          <w:tcPr>
            <w:tcW w:w="3550" w:type="dxa"/>
            <w:shd w:fill="F0F5F7"/>
          </w:tcPr>
          <w:p>
            <w:pPr>
              <w:pStyle w:val="TableText"/>
            </w:pPr>
            <w:r>
              <w:t xml:space="preserve">A / C17 / r2 / digest H9</w:t>
            </w:r>
            <w:r>
              <w:br/>
              <w:t xml:space="preserve">changed body</w:t>
            </w:r>
          </w:p>
        </w:tc>
        <w:tc>
          <w:tcPr>
            <w:tcW w:w="3000" w:type="dxa"/>
            <w:shd w:fill="F0F5F7"/>
          </w:tcPr>
          <w:p>
            <w:pPr>
              <w:pStyle w:val="TableText"/>
            </w:pPr>
            <w:r>
              <w:t xml:space="preserve">Conflict; quarantine/reject overwrite</w:t>
            </w:r>
          </w:p>
        </w:tc>
        <w:tc>
          <w:tcPr>
            <w:tcW w:w="3484" w:type="dxa"/>
            <w:shd w:fill="F0F5F7"/>
          </w:tcPr>
          <w:p>
            <w:pPr>
              <w:pStyle w:val="TableText"/>
            </w:pPr>
            <w:r>
              <w:t xml:space="preserve">Same revision cannot silently change meaning</w:t>
            </w:r>
          </w:p>
        </w:tc>
      </w:tr>
      <w:tr>
        <w:trPr>
          <w:cantSplit/>
        </w:trPr>
        <w:tc>
          <w:tcPr>
            <w:tcW w:w="3550" w:type="dxa"/>
            <w:shd w:fill="FFFFFF"/>
          </w:tcPr>
          <w:p>
            <w:pPr>
              <w:pStyle w:val="TableText"/>
            </w:pPr>
            <w:r>
              <w:t xml:space="preserve">A / C17 / r3 / digest H3</w:t>
            </w:r>
            <w:r>
              <w:br/>
              <w:t xml:space="preserve">expected predecessor r2</w:t>
            </w:r>
          </w:p>
        </w:tc>
        <w:tc>
          <w:tcPr>
            <w:tcW w:w="3000" w:type="dxa"/>
            <w:shd w:fill="FFFFFF"/>
          </w:tcPr>
          <w:p>
            <w:pPr>
              <w:pStyle w:val="TableText"/>
            </w:pPr>
            <w:r>
              <w:t xml:space="preserve">Accept successor if valid and ordered</w:t>
            </w:r>
          </w:p>
        </w:tc>
        <w:tc>
          <w:tcPr>
            <w:tcW w:w="3484" w:type="dxa"/>
            <w:shd w:fill="FFFFFF"/>
          </w:tcPr>
          <w:p>
            <w:pPr>
              <w:pStyle w:val="TableText"/>
            </w:pPr>
            <w:r>
              <w:t xml:space="preserve">Invalidate old approval linkage; keep history</w:t>
            </w:r>
          </w:p>
        </w:tc>
      </w:tr>
      <w:tr>
        <w:trPr>
          <w:cantSplit/>
        </w:trPr>
        <w:tc>
          <w:tcPr>
            <w:tcW w:w="3550" w:type="dxa"/>
            <w:shd w:fill="F0F5F7"/>
          </w:tcPr>
          <w:p>
            <w:pPr>
              <w:pStyle w:val="TableText"/>
            </w:pPr>
            <w:r>
              <w:t xml:space="preserve">B / C88 / r1 / digest HB</w:t>
            </w:r>
            <w:r>
              <w:br/>
              <w:t xml:space="preserve">same KAYNES subject</w:t>
            </w:r>
          </w:p>
        </w:tc>
        <w:tc>
          <w:tcPr>
            <w:tcW w:w="3000" w:type="dxa"/>
            <w:shd w:fill="F0F5F7"/>
          </w:tcPr>
          <w:p>
            <w:pPr>
              <w:pStyle w:val="TableText"/>
            </w:pPr>
            <w:r>
              <w:t xml:space="preserve">Independent candidate retained</w:t>
            </w:r>
          </w:p>
        </w:tc>
        <w:tc>
          <w:tcPr>
            <w:tcW w:w="3484" w:type="dxa"/>
            <w:shd w:fill="F0F5F7"/>
          </w:tcPr>
          <w:p>
            <w:pPr>
              <w:pStyle w:val="TableText"/>
            </w:pPr>
            <w:r>
              <w:t xml:space="preserve">Different source, rule or purpose; not a duplicate</w:t>
            </w:r>
          </w:p>
        </w:tc>
      </w:tr>
    </w:tbl>
    <w:p>
      <w:pPr>
        <w:pStyle w:val="Spacer"/>
      </w:pPr>
      <w:r>
        <w:t xml:space="preserve"/>
      </w:r>
    </w:p>
    <w:p>
      <w:pPr>
        <w:jc w:val="center"/>
        <w:keepNext/>
      </w:pPr>
      <w:r>
        <w:drawing>
          <wp:inline distT="0" distB="0" distL="0" distR="0">
            <wp:extent cx="6327648" cy="1124915"/>
            <wp:docPr id="37" name="Figure 37" descr="Candidate identity deduplication is separate from evidence provenance and source independence."/>
            <a:graphic>
              <a:graphicData uri="http://schemas.openxmlformats.org/drawingml/2006/picture">
                <pic:pic>
                  <pic:nvPicPr>
                    <pic:cNvPr id="0" name="dedup.png" descr="Candidate identity deduplication is separate from evidence provenance and source independence."/>
                    <pic:cNvPicPr/>
                  </pic:nvPicPr>
                  <pic:blipFill>
                    <a:blip r:embed="rIdImg37"/>
                    <a:stretch>
                      <a:fillRect/>
                    </a:stretch>
                  </pic:blipFill>
                  <pic:spPr>
                    <a:xfrm>
                      <a:off x="0" y="0"/>
                      <a:ext cx="6327648" cy="1124915"/>
                    </a:xfrm>
                    <a:prstGeom prst="rect">
                      <a:avLst/>
                    </a:prstGeom>
                  </pic:spPr>
                </pic:pic>
              </a:graphicData>
            </a:graphic>
          </wp:inline>
        </w:drawing>
      </w:r>
    </w:p>
    <w:p>
      <w:pPr>
        <w:pStyle w:val="Caption"/>
      </w:pPr>
      <w:r>
        <w:t xml:space="preserve">Figure 37. Idempotent delivery is not cross-source semantic collapse.</w:t>
      </w:r>
    </w:p>
    <w:p>
      <w:pPr>
        <w:pStyle w:val="Normal"/>
      </w:pPr>
      <w:r>
        <w:t xml:space="preserve">A shared instrument cluster may help navigation while preserving each source assertion. Canonical evidence admission separately decides rights, factual meaning and point-in-time availability. A changed nested expression is a candidate revision, not a mutable shared pointer. No deduplication step grants TM action authority.</w:t>
      </w:r>
    </w:p>
    <w:p>
      <w:pPr>
        <w:pStyle w:val="Source"/>
      </w:pPr>
      <w:r>
        <w:t xml:space="preserve">READ WITH  Ecosystem §3; source-authority provenance/contradiction architecture</w:t>
      </w:r>
    </w:p>
    <w:p>
      <w:pPr>
        <w:pStyle w:val="Eyebrow"/>
        <w:pageBreakBefore/>
      </w:pPr>
      <w:r>
        <w:t xml:space="preserve">IV • FUTURE INTELLIGENCE  /  FUTURE / TBD</w:t>
      </w:r>
    </w:p>
    <w:p>
      <w:pPr>
        <w:pStyle w:val="Heading1"/>
      </w:pPr>
      <w:r>
        <w:t xml:space="preserve">Sector, qualification and forecasting</w:t>
      </w:r>
    </w:p>
    <w:p>
      <w:pPr>
        <w:jc w:val="center"/>
        <w:keepNext/>
      </w:pPr>
      <w:r>
        <w:drawing>
          <wp:inline distT="0" distB="0" distL="0" distR="0">
            <wp:extent cx="6327648" cy="2320137"/>
            <wp:docPr id="38" name="Figure 38" descr="Future Sector Rotation feeds both scanner universe priority and TI context. Future Signal Qualification is an acyclic consumer of TI and optional overlays. A7 supplies calibrated forecasting/evaluation, not authority."/>
            <a:graphic>
              <a:graphicData uri="http://schemas.openxmlformats.org/drawingml/2006/picture">
                <pic:pic>
                  <pic:nvPicPr>
                    <pic:cNvPr id="0" name="future-context.png" descr="Future Sector Rotation feeds both scanner universe priority and TI context. Future Signal Qualification is an acyclic consumer of TI and optional overlays. A7 supplies calibrated forecasting/evaluation, not authority."/>
                    <pic:cNvPicPr/>
                  </pic:nvPicPr>
                  <pic:blipFill>
                    <a:blip r:embed="rIdImg38"/>
                    <a:stretch>
                      <a:fillRect/>
                    </a:stretch>
                  </pic:blipFill>
                  <pic:spPr>
                    <a:xfrm>
                      <a:off x="0" y="0"/>
                      <a:ext cx="6327648" cy="2320137"/>
                    </a:xfrm>
                    <a:prstGeom prst="rect">
                      <a:avLst/>
                    </a:prstGeom>
                  </pic:spPr>
                </pic:pic>
              </a:graphicData>
            </a:graphic>
          </wp:inline>
        </w:drawing>
      </w:r>
    </w:p>
    <w:p>
      <w:pPr>
        <w:pStyle w:val="Caption"/>
      </w:pPr>
      <w:r>
        <w:t xml:space="preserve">Figure 38. Separate future consumers, with no recursive search for a favorable answer.</w:t>
      </w:r>
    </w:p>
    <w:p>
      <w:pPr>
        <w:pStyle w:val="Normal"/>
      </w:pPr>
      <w:r>
        <w:t xml:space="preserve">Current A3.6 sector-context specialists are not a full Sector Rotation engine. Initial deterministic A6 does not require A7. Future calibrated evidence must be explicitly admitted and versioned; raw scanner confidence is not a substitute. Sector ordering relative to A7/A8 remains unresolved, and Signal Qualification follows its review unless explicitly reordered.</w:t>
      </w:r>
    </w:p>
    <w:p>
      <w:pPr>
        <w:pStyle w:val="Source"/>
      </w:pPr>
      <w:r>
        <w:t xml:space="preserve">READ WITH  Ecosystem §6; authoritative roadmap; TBD sector/qualification/forecasting notes</w:t>
      </w:r>
    </w:p>
    <w:p>
      <w:pPr>
        <w:pStyle w:val="Eyebrow"/>
        <w:pageBreakBefore/>
      </w:pPr>
      <w:r>
        <w:t xml:space="preserve">IV • EVOLUTION  /  CURRENT → FUTURE / TBD</w:t>
      </w:r>
    </w:p>
    <w:p>
      <w:pPr>
        <w:pStyle w:val="Heading1"/>
      </w:pPr>
      <w:r>
        <w:t xml:space="preserve">A gated roadmap, not a wishful timeline</w:t>
      </w:r>
    </w:p>
    <w:p>
      <w:pPr>
        <w:jc w:val="center"/>
        <w:keepNext/>
      </w:pPr>
      <w:r>
        <w:drawing>
          <wp:inline distT="0" distB="0" distL="0" distR="0">
            <wp:extent cx="6327648" cy="2408021"/>
            <wp:docPr id="39" name="Figure 39" descr="Roadmap starts with current Core/Shell/A5/R1, then pre-A6 R2–R5 gates, A6, A7, A8 TM, A9 Scanner and A10 hardening. No future features are labelled implemented."/>
            <a:graphic>
              <a:graphicData uri="http://schemas.openxmlformats.org/drawingml/2006/picture">
                <pic:pic>
                  <pic:nvPicPr>
                    <pic:cNvPr id="0" name="roadmap.png" descr="Roadmap starts with current Core/Shell/A5/R1, then pre-A6 R2–R5 gates, A6, A7, A8 TM, A9 Scanner and A10 hardening. No future features are labelled implemented."/>
                    <pic:cNvPicPr/>
                  </pic:nvPicPr>
                  <pic:blipFill>
                    <a:blip r:embed="rIdImg39"/>
                    <a:stretch>
                      <a:fillRect/>
                    </a:stretch>
                  </pic:blipFill>
                  <pic:spPr>
                    <a:xfrm>
                      <a:off x="0" y="0"/>
                      <a:ext cx="6327648" cy="2408021"/>
                    </a:xfrm>
                    <a:prstGeom prst="rect">
                      <a:avLst/>
                    </a:prstGeom>
                  </pic:spPr>
                </pic:pic>
              </a:graphicData>
            </a:graphic>
          </wp:inline>
        </w:drawing>
      </w:r>
    </w:p>
    <w:p>
      <w:pPr>
        <w:pStyle w:val="Caption"/>
      </w:pPr>
      <w:r>
        <w:t xml:space="preserve">Figure 39. Normative milestone spine; this is not a delivery-date commitment.</w:t>
      </w:r>
    </w:p>
    <w:p>
      <w:pPr>
        <w:pStyle w:val="Normal"/>
      </w:pPr>
      <w:r>
        <w:t xml:space="preserve">Contract design may precede runtime integration. Monitoring runtime, Sheets/client integrations and a Web Cockpit each require separate admission, deployment and acceptance gates; this handbook does not assign them invented milestone numbers. Their dependency story is not permission to reorder the authoritative roadmap.</w:t>
      </w:r>
    </w:p>
    <w:p>
      <w:pPr>
        <w:pStyle w:val="Normal"/>
      </w:pPr>
      <w:r>
        <w:t xml:space="preserve">Sector Rotation’s placement relative to A7/A8 remains TBD; Signal Qualification follows that review unless explicitly reordered. The illustrative “scanner → monitoring → cockpit” journey explains dependencies, not a competing delivery sequence.</w:t>
      </w:r>
    </w:p>
    <w:p>
      <w:pPr>
        <w:pStyle w:val="Source"/>
      </w:pPr>
      <w:r>
        <w:t xml:space="preserve">READ WITH  TRADINGINTELLIGENCE_ROADMAP.md: current sequence; ecosystem §13</w:t>
      </w:r>
    </w:p>
    <w:p>
      <w:pPr>
        <w:pStyle w:val="Eyebrow"/>
        <w:pageBreakBefore/>
      </w:pPr>
      <w:r>
        <w:t xml:space="preserve">REFERENCE  /  ACCEPTED DESIGN / OPEN GATES</w:t>
      </w:r>
    </w:p>
    <w:p>
      <w:pPr>
        <w:pStyle w:val="Heading1"/>
      </w:pPr>
      <w:r>
        <w:t xml:space="preserve">Boundaries to carry into implementation</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4400"/>
        <w:gridCol w:w="5634"/>
      </w:tblGrid>
      <w:tr>
        <w:trPr>
          <w:cantSplit/>
          <w:tblHeader/>
        </w:trPr>
        <w:tc>
          <w:tcPr>
            <w:tcW w:w="4400" w:type="dxa"/>
            <w:shd w:fill="17324D"/>
          </w:tcPr>
          <w:p>
            <w:pPr>
              <w:pStyle w:val="TableHead"/>
            </w:pPr>
            <w:r>
              <w:t xml:space="preserve">Boundary still requiring acceptance</w:t>
            </w:r>
          </w:p>
        </w:tc>
        <w:tc>
          <w:tcPr>
            <w:tcW w:w="5634" w:type="dxa"/>
            <w:shd w:fill="17324D"/>
          </w:tcPr>
          <w:p>
            <w:pPr>
              <w:pStyle w:val="TableHead"/>
            </w:pPr>
            <w:r>
              <w:t xml:space="preserve">Do not infer</w:t>
            </w:r>
          </w:p>
        </w:tc>
      </w:tr>
      <w:tr>
        <w:trPr>
          <w:cantSplit/>
        </w:trPr>
        <w:tc>
          <w:tcPr>
            <w:tcW w:w="4400" w:type="dxa"/>
            <w:shd w:fill="F0F5F7"/>
          </w:tcPr>
          <w:p>
            <w:pPr>
              <w:pStyle w:val="TableText"/>
            </w:pPr>
            <w:r>
              <w:t xml:space="preserve">Source ingress authentication / published wire schemas</w:t>
            </w:r>
          </w:p>
        </w:tc>
        <w:tc>
          <w:tcPr>
            <w:tcW w:w="5634" w:type="dxa"/>
            <w:shd w:fill="F0F5F7"/>
          </w:tcPr>
          <w:p>
            <w:pPr>
              <w:pStyle w:val="TableText"/>
            </w:pPr>
            <w:r>
              <w:t xml:space="preserve">A payload source_id is authenticated; design field names are an implemented API</w:t>
            </w:r>
          </w:p>
        </w:tc>
      </w:tr>
      <w:tr>
        <w:trPr>
          <w:cantSplit/>
        </w:trPr>
        <w:tc>
          <w:tcPr>
            <w:tcW w:w="4400" w:type="dxa"/>
            <w:shd w:fill="FFFFFF"/>
          </w:tcPr>
          <w:p>
            <w:pPr>
              <w:pStyle w:val="TableText"/>
            </w:pPr>
            <w:r>
              <w:t xml:space="preserve">A6 eligibility, exposure sides and numeric policy</w:t>
            </w:r>
          </w:p>
        </w:tc>
        <w:tc>
          <w:tcPr>
            <w:tcW w:w="5634" w:type="dxa"/>
            <w:shd w:fill="FFFFFF"/>
          </w:tcPr>
          <w:p>
            <w:pPr>
              <w:pStyle w:val="TableText"/>
            </w:pPr>
            <w:r>
              <w:t xml:space="preserve">Every named stock has a supported option, or short-option authority exists</w:t>
            </w:r>
          </w:p>
        </w:tc>
      </w:tr>
      <w:tr>
        <w:trPr>
          <w:cantSplit/>
        </w:trPr>
        <w:tc>
          <w:tcPr>
            <w:tcW w:w="4400" w:type="dxa"/>
            <w:shd w:fill="F0F5F7"/>
          </w:tcPr>
          <w:p>
            <w:pPr>
              <w:pStyle w:val="TableText"/>
            </w:pPr>
            <w:r>
              <w:t xml:space="preserve">TM strategy, grants, action idempotency and reconciliation</w:t>
            </w:r>
          </w:p>
        </w:tc>
        <w:tc>
          <w:tcPr>
            <w:tcW w:w="5634" w:type="dxa"/>
            <w:shd w:fill="F0F5F7"/>
          </w:tcPr>
          <w:p>
            <w:pPr>
              <w:pStyle w:val="TableText"/>
            </w:pPr>
            <w:r>
              <w:t xml:space="preserve">TI support authorizes capital/quantity or a timeout means no fill</w:t>
            </w:r>
          </w:p>
        </w:tc>
      </w:tr>
      <w:tr>
        <w:trPr>
          <w:cantSplit/>
        </w:trPr>
        <w:tc>
          <w:tcPr>
            <w:tcW w:w="4400" w:type="dxa"/>
            <w:shd w:fill="FFFFFF"/>
          </w:tcPr>
          <w:p>
            <w:pPr>
              <w:pStyle w:val="TableText"/>
            </w:pPr>
            <w:r>
              <w:t xml:space="preserve">Fresh-input public binding / deployment / monitoring runtime</w:t>
            </w:r>
          </w:p>
        </w:tc>
        <w:tc>
          <w:tcPr>
            <w:tcW w:w="5634" w:type="dxa"/>
            <w:shd w:fill="FFFFFF"/>
          </w:tcPr>
          <w:p>
            <w:pPr>
              <w:pStyle w:val="TableText"/>
            </w:pPr>
            <w:r>
              <w:t xml:space="preserve">Captured replay acquires current facts or A5 hints start a daemon</w:t>
            </w:r>
          </w:p>
        </w:tc>
      </w:tr>
      <w:tr>
        <w:trPr>
          <w:cantSplit/>
        </w:trPr>
        <w:tc>
          <w:tcPr>
            <w:tcW w:w="4400" w:type="dxa"/>
            <w:shd w:fill="F0F5F7"/>
          </w:tcPr>
          <w:p>
            <w:pPr>
              <w:pStyle w:val="TableText"/>
            </w:pPr>
            <w:r>
              <w:t xml:space="preserve">Persistence, retention, cross-system export and R2–R5</w:t>
            </w:r>
          </w:p>
        </w:tc>
        <w:tc>
          <w:tcPr>
            <w:tcW w:w="5634" w:type="dxa"/>
            <w:shd w:fill="F0F5F7"/>
          </w:tcPr>
          <w:p>
            <w:pPr>
              <w:pStyle w:val="TableText"/>
            </w:pPr>
            <w:r>
              <w:t xml:space="preserve">One shared database or complete captured composition already exists</w:t>
            </w:r>
          </w:p>
        </w:tc>
      </w:tr>
      <w:tr>
        <w:trPr>
          <w:cantSplit/>
        </w:trPr>
        <w:tc>
          <w:tcPr>
            <w:tcW w:w="4400" w:type="dxa"/>
            <w:shd w:fill="FFFFFF"/>
          </w:tcPr>
          <w:p>
            <w:pPr>
              <w:pStyle w:val="TableText"/>
            </w:pPr>
            <w:r>
              <w:t xml:space="preserve">Sheets / cockpit authentication, session and UI technology</w:t>
            </w:r>
          </w:p>
        </w:tc>
        <w:tc>
          <w:tcPr>
            <w:tcW w:w="5634" w:type="dxa"/>
            <w:shd w:fill="FFFFFF"/>
          </w:tcPr>
          <w:p>
            <w:pPr>
              <w:pStyle w:val="TableText"/>
            </w:pPr>
            <w:r>
              <w:t xml:space="preserve">A shared screen shares authority, or credentials belong in a spreadsheet</w:t>
            </w:r>
          </w:p>
        </w:tc>
      </w:tr>
      <w:tr>
        <w:trPr>
          <w:cantSplit/>
        </w:trPr>
        <w:tc>
          <w:tcPr>
            <w:tcW w:w="4400" w:type="dxa"/>
            <w:shd w:fill="F0F5F7"/>
          </w:tcPr>
          <w:p>
            <w:pPr>
              <w:pStyle w:val="TableText"/>
            </w:pPr>
            <w:r>
              <w:t xml:space="preserve">Sector Rotation / qualification / calibrated A7 evidence</w:t>
            </w:r>
          </w:p>
        </w:tc>
        <w:tc>
          <w:tcPr>
            <w:tcW w:w="5634" w:type="dxa"/>
            <w:shd w:fill="F0F5F7"/>
          </w:tcPr>
          <w:p>
            <w:pPr>
              <w:pStyle w:val="TableText"/>
            </w:pPr>
            <w:r>
              <w:t xml:space="preserve">Research ideas are current services or a raw score is a forecast</w:t>
            </w:r>
          </w:p>
        </w:tc>
      </w:tr>
    </w:tbl>
    <w:p>
      <w:pPr>
        <w:pStyle w:val="Spacer"/>
      </w:pPr>
      <w:r>
        <w:t xml:space="preserve"/>
      </w:r>
    </w:p>
    <w:p>
      <w:pPr>
        <w:pStyle w:val="Heading2"/>
      </w:pPr>
      <w:r>
        <w:t xml:space="preserve">Memorable rules</w:t>
      </w:r>
    </w:p>
    <w:p>
      <w:pPr>
        <w:pStyle w:val="Normal"/>
      </w:pPr>
      <w:r>
        <w:t xml:space="preserve">Scanners propose. TI advises. TM authorizes. Brokers execute. Watchlist is organization; mandate is semantics. Shared evidence is not shared analysis state. Deduplicate evidence, not intent. Monitoring is intelligence orchestration, not execution. Broker truth outranks cached assumptions. Replay explains; replay never executes.</w:t>
      </w:r>
    </w:p>
    <w:p>
      <w:pPr>
        <w:pStyle w:val="Callout"/>
      </w:pPr>
      <w:r>
        <w:t xml:space="preserve">This thesis is a human-readable companion. Normative architecture remains in the authoritative Markdown architecture documents.</w:t>
      </w:r>
    </w:p>
    <w:p>
      <w:pPr>
        <w:pStyle w:val="Normal"/>
      </w:pPr>
      <w:r>
        <w:t xml:space="preserve">The handbook changes no runtime contract, enum, recommendation policy, authority boundary or package/schema version. Its mock objects and screens are teaching devices, not a new specification. When a simplification needs precision, follow the source map on the next page.</w:t>
      </w:r>
    </w:p>
    <w:p>
      <w:pPr>
        <w:pStyle w:val="Eyebrow"/>
        <w:pageBreakBefore/>
      </w:pPr>
      <w:r>
        <w:t xml:space="preserve">REFERENCE  /  REFERENCE</w:t>
      </w:r>
    </w:p>
    <w:p>
      <w:pPr>
        <w:pStyle w:val="Heading1"/>
      </w:pPr>
      <w:r>
        <w:t xml:space="preserve">Source map &amp; compact glossary</w:t>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3500"/>
        <w:gridCol w:w="6534"/>
      </w:tblGrid>
      <w:tr>
        <w:trPr>
          <w:cantSplit/>
          <w:tblHeader/>
        </w:trPr>
        <w:tc>
          <w:tcPr>
            <w:tcW w:w="3500" w:type="dxa"/>
            <w:shd w:fill="17324D"/>
          </w:tcPr>
          <w:p>
            <w:pPr>
              <w:pStyle w:val="TableHead"/>
            </w:pPr>
            <w:r>
              <w:t xml:space="preserve">Topic</w:t>
            </w:r>
          </w:p>
        </w:tc>
        <w:tc>
          <w:tcPr>
            <w:tcW w:w="6534" w:type="dxa"/>
            <w:shd w:fill="17324D"/>
          </w:tcPr>
          <w:p>
            <w:pPr>
              <w:pStyle w:val="TableHead"/>
            </w:pPr>
            <w:r>
              <w:t xml:space="preserve">Authoritative repository reference</w:t>
            </w:r>
          </w:p>
        </w:tc>
      </w:tr>
      <w:tr>
        <w:trPr>
          <w:cantSplit/>
        </w:trPr>
        <w:tc>
          <w:tcPr>
            <w:tcW w:w="3500" w:type="dxa"/>
            <w:shd w:fill="F0F5F7"/>
          </w:tcPr>
          <w:p>
            <w:pPr>
              <w:pStyle w:val="TableText"/>
            </w:pPr>
            <w:r>
              <w:t xml:space="preserve">Ecosystem owner / object / state model</w:t>
            </w:r>
          </w:p>
        </w:tc>
        <w:tc>
          <w:tcPr>
            <w:tcW w:w="6534" w:type="dxa"/>
            <w:shd w:fill="F0F5F7"/>
          </w:tcPr>
          <w:p>
            <w:pPr>
              <w:pStyle w:val="TableText"/>
            </w:pPr>
            <w:r>
              <w:t xml:space="preserve">docs/TIAF_TRADING_ECOSYSTEM_ARCHITECTURE.md</w:t>
            </w:r>
          </w:p>
        </w:tc>
      </w:tr>
      <w:tr>
        <w:trPr>
          <w:cantSplit/>
        </w:trPr>
        <w:tc>
          <w:tcPr>
            <w:tcW w:w="3500" w:type="dxa"/>
            <w:shd w:fill="FFFFFF"/>
          </w:tcPr>
          <w:p>
            <w:pPr>
              <w:pStyle w:val="TableText"/>
            </w:pPr>
            <w:r>
              <w:t xml:space="preserve">TI boundary and deployment</w:t>
            </w:r>
          </w:p>
        </w:tc>
        <w:tc>
          <w:tcPr>
            <w:tcW w:w="6534" w:type="dxa"/>
            <w:shd w:fill="FFFFFF"/>
          </w:tcPr>
          <w:p>
            <w:pPr>
              <w:pStyle w:val="TableText"/>
            </w:pPr>
            <w:r>
              <w:t xml:space="preserve">docs/TIAF_SYSTEM_ARCHITECTURE.md</w:t>
            </w:r>
            <w:r>
              <w:br/>
              <w:t xml:space="preserve">docs/TIAF_DEPLOYMENT_ARCHITECTURE.md</w:t>
            </w:r>
          </w:p>
        </w:tc>
      </w:tr>
      <w:tr>
        <w:trPr>
          <w:cantSplit/>
        </w:trPr>
        <w:tc>
          <w:tcPr>
            <w:tcW w:w="3500" w:type="dxa"/>
            <w:shd w:fill="F0F5F7"/>
          </w:tcPr>
          <w:p>
            <w:pPr>
              <w:pStyle w:val="TableText"/>
            </w:pPr>
            <w:r>
              <w:t xml:space="preserve">Mandates, clocks, sharing, scheduling</w:t>
            </w:r>
          </w:p>
        </w:tc>
        <w:tc>
          <w:tcPr>
            <w:tcW w:w="6534" w:type="dxa"/>
            <w:shd w:fill="F0F5F7"/>
          </w:tcPr>
          <w:p>
            <w:pPr>
              <w:pStyle w:val="TableText"/>
            </w:pPr>
            <w:r>
              <w:t xml:space="preserve">docs/TIAF_MONITORING_ARCHITECTURE.md</w:t>
            </w:r>
          </w:p>
        </w:tc>
      </w:tr>
      <w:tr>
        <w:trPr>
          <w:cantSplit/>
        </w:trPr>
        <w:tc>
          <w:tcPr>
            <w:tcW w:w="3500" w:type="dxa"/>
            <w:shd w:fill="FFFFFF"/>
          </w:tcPr>
          <w:p>
            <w:pPr>
              <w:pStyle w:val="TableText"/>
            </w:pPr>
            <w:r>
              <w:t xml:space="preserve">Replacement guarantees and required absence</w:t>
            </w:r>
          </w:p>
        </w:tc>
        <w:tc>
          <w:tcPr>
            <w:tcW w:w="6534" w:type="dxa"/>
            <w:shd w:fill="FFFFFF"/>
          </w:tcPr>
          <w:p>
            <w:pPr>
              <w:pStyle w:val="TableText"/>
            </w:pPr>
            <w:r>
              <w:t xml:space="preserve">docs/TIAF_PLUGGABILITY_ARCHITECTURE.md</w:t>
            </w:r>
          </w:p>
        </w:tc>
      </w:tr>
      <w:tr>
        <w:trPr>
          <w:cantSplit/>
        </w:trPr>
        <w:tc>
          <w:tcPr>
            <w:tcW w:w="3500" w:type="dxa"/>
            <w:shd w:fill="F0F5F7"/>
          </w:tcPr>
          <w:p>
            <w:pPr>
              <w:pStyle w:val="TableText"/>
            </w:pPr>
            <w:r>
              <w:t xml:space="preserve">Evidence meaning and contradiction</w:t>
            </w:r>
          </w:p>
        </w:tc>
        <w:tc>
          <w:tcPr>
            <w:tcW w:w="6534" w:type="dxa"/>
            <w:shd w:fill="F0F5F7"/>
          </w:tcPr>
          <w:p>
            <w:pPr>
              <w:pStyle w:val="TableText"/>
            </w:pPr>
            <w:r>
              <w:t xml:space="preserve">docs/TIAF_SOURCE_AUTHORITY_PROVENANCE_CONTRADICTION_ARCHITECTURE.md</w:t>
            </w:r>
          </w:p>
        </w:tc>
      </w:tr>
      <w:tr>
        <w:trPr>
          <w:cantSplit/>
        </w:trPr>
        <w:tc>
          <w:tcPr>
            <w:tcW w:w="3500" w:type="dxa"/>
            <w:shd w:fill="FFFFFF"/>
          </w:tcPr>
          <w:p>
            <w:pPr>
              <w:pStyle w:val="TableText"/>
            </w:pPr>
            <w:r>
              <w:t xml:space="preserve">Challenge / arbitration</w:t>
            </w:r>
          </w:p>
        </w:tc>
        <w:tc>
          <w:tcPr>
            <w:tcW w:w="6534" w:type="dxa"/>
            <w:shd w:fill="FFFFFF"/>
          </w:tcPr>
          <w:p>
            <w:pPr>
              <w:pStyle w:val="TableText"/>
            </w:pPr>
            <w:r>
              <w:t xml:space="preserve">docs/TIAF_A4_CHALLENGE_ARBITRATION_HIGHER_INTELLIGENCE_ARCHITECTURE.md</w:t>
            </w:r>
          </w:p>
        </w:tc>
      </w:tr>
      <w:tr>
        <w:trPr>
          <w:cantSplit/>
        </w:trPr>
        <w:tc>
          <w:tcPr>
            <w:tcW w:w="3500" w:type="dxa"/>
            <w:shd w:fill="F0F5F7"/>
          </w:tcPr>
          <w:p>
            <w:pPr>
              <w:pStyle w:val="TableText"/>
            </w:pPr>
            <w:r>
              <w:t xml:space="preserve">Single-position intelligence</w:t>
            </w:r>
          </w:p>
        </w:tc>
        <w:tc>
          <w:tcPr>
            <w:tcW w:w="6534" w:type="dxa"/>
            <w:shd w:fill="F0F5F7"/>
          </w:tcPr>
          <w:p>
            <w:pPr>
              <w:pStyle w:val="TableText"/>
            </w:pPr>
            <w:r>
              <w:t xml:space="preserve">docs/TIAF_A5_POSITION_INTELLIGENCE_ARCHITECTURE.md</w:t>
            </w:r>
          </w:p>
        </w:tc>
      </w:tr>
      <w:tr>
        <w:trPr>
          <w:cantSplit/>
        </w:trPr>
        <w:tc>
          <w:tcPr>
            <w:tcW w:w="3500" w:type="dxa"/>
            <w:shd w:fill="FFFFFF"/>
          </w:tcPr>
          <w:p>
            <w:pPr>
              <w:pStyle w:val="TableText"/>
            </w:pPr>
            <w:r>
              <w:t xml:space="preserve">Implementation truth, deferrals and order</w:t>
            </w:r>
          </w:p>
        </w:tc>
        <w:tc>
          <w:tcPr>
            <w:tcW w:w="6534" w:type="dxa"/>
            <w:shd w:fill="FFFFFF"/>
          </w:tcPr>
          <w:p>
            <w:pPr>
              <w:pStyle w:val="TableText"/>
            </w:pPr>
            <w:r>
              <w:t xml:space="preserve">docs/TIAF_CAPABILITY_MAP.md</w:t>
            </w:r>
            <w:r>
              <w:br/>
              <w:t xml:space="preserve">docs/TIAF_DEFERRAL_REGISTER.md</w:t>
            </w:r>
            <w:r>
              <w:br/>
              <w:t xml:space="preserve">docs/TRADINGINTELLIGENCE_ROADMAP.md</w:t>
            </w:r>
          </w:p>
        </w:tc>
      </w:tr>
      <w:tr>
        <w:trPr>
          <w:cantSplit/>
        </w:trPr>
        <w:tc>
          <w:tcPr>
            <w:tcW w:w="3500" w:type="dxa"/>
            <w:shd w:fill="F0F5F7"/>
          </w:tcPr>
          <w:p>
            <w:pPr>
              <w:pStyle w:val="TableText"/>
            </w:pPr>
            <w:r>
              <w:t xml:space="preserve">Narrative context</w:t>
            </w:r>
          </w:p>
        </w:tc>
        <w:tc>
          <w:tcPr>
            <w:tcW w:w="6534" w:type="dxa"/>
            <w:shd w:fill="F0F5F7"/>
          </w:tcPr>
          <w:p>
            <w:pPr>
              <w:pStyle w:val="TableText"/>
            </w:pPr>
            <w:r>
              <w:t xml:space="preserve">docs/TIAF_THESIS.md</w:t>
            </w:r>
            <w:r>
              <w:br/>
              <w:t xml:space="preserve">TI_Intelligence_Hierarchy_Thesis.docx</w:t>
            </w:r>
            <w:r>
              <w:br/>
              <w:t xml:space="preserve">TI_Monitoring_Architecture_Thesis.docx</w:t>
            </w:r>
          </w:p>
        </w:tc>
      </w:tr>
    </w:tbl>
    <w:p>
      <w:pPr>
        <w:pStyle w:val="Spacer"/>
      </w:pPr>
      <w:r>
        <w:t xml:space="preserve"/>
      </w:r>
    </w:p>
    <w:tbl>
      <w:tblPr>
        <w:tblW w:w="10034" w:type="dxa"/>
        <w:tblLayout w:type="fixed"/>
        <w:tblBorders>
          <w:top w:val="single" w:sz="4" w:color="D6E0E7"/>
          <w:left w:val="single" w:sz="4" w:color="D6E0E7"/>
          <w:bottom w:val="single" w:sz="4" w:color="D6E0E7"/>
          <w:right w:val="single" w:sz="4" w:color="D6E0E7"/>
          <w:insideH w:val="single" w:sz="4" w:color="D6E0E7"/>
          <w:insideV w:val="single" w:sz="4" w:color="D6E0E7"/>
        </w:tblBorders>
        <w:tblCellMar>
          <w:top w:w="90" w:type="dxa"/>
          <w:left w:w="90" w:type="dxa"/>
          <w:bottom w:w="90" w:type="dxa"/>
          <w:right w:w="90" w:type="dxa"/>
        </w:tblCellMar>
      </w:tblPr>
      <w:tblGrid>
        <w:gridCol w:w="2800"/>
        <w:gridCol w:w="7234"/>
      </w:tblGrid>
      <w:tr>
        <w:trPr>
          <w:cantSplit/>
          <w:tblHeader/>
        </w:trPr>
        <w:tc>
          <w:tcPr>
            <w:tcW w:w="2800" w:type="dxa"/>
            <w:shd w:fill="17324D"/>
          </w:tcPr>
          <w:p>
            <w:pPr>
              <w:pStyle w:val="TableHead"/>
            </w:pPr>
            <w:r>
              <w:t xml:space="preserve">Term</w:t>
            </w:r>
          </w:p>
        </w:tc>
        <w:tc>
          <w:tcPr>
            <w:tcW w:w="7234" w:type="dxa"/>
            <w:shd w:fill="17324D"/>
          </w:tcPr>
          <w:p>
            <w:pPr>
              <w:pStyle w:val="TableHead"/>
            </w:pPr>
            <w:r>
              <w:t xml:space="preserve">Read it as</w:t>
            </w:r>
          </w:p>
        </w:tc>
      </w:tr>
      <w:tr>
        <w:trPr>
          <w:cantSplit/>
        </w:trPr>
        <w:tc>
          <w:tcPr>
            <w:tcW w:w="2800" w:type="dxa"/>
            <w:shd w:fill="F0F5F7"/>
          </w:tcPr>
          <w:p>
            <w:pPr>
              <w:pStyle w:val="TableText"/>
            </w:pPr>
            <w:r>
              <w:t xml:space="preserve">PIT / as_of</w:t>
            </w:r>
          </w:p>
        </w:tc>
        <w:tc>
          <w:tcPr>
            <w:tcW w:w="7234" w:type="dxa"/>
            <w:shd w:fill="F0F5F7"/>
          </w:tcPr>
          <w:p>
            <w:pPr>
              <w:pStyle w:val="TableText"/>
            </w:pPr>
            <w:r>
              <w:t xml:space="preserve">Point-in-time availability / the explicit decision cutoff; not today’s knowledge.</w:t>
            </w:r>
          </w:p>
        </w:tc>
      </w:tr>
      <w:tr>
        <w:trPr>
          <w:cantSplit/>
        </w:trPr>
        <w:tc>
          <w:tcPr>
            <w:tcW w:w="2800" w:type="dxa"/>
            <w:shd w:fill="FFFFFF"/>
          </w:tcPr>
          <w:p>
            <w:pPr>
              <w:pStyle w:val="TableText"/>
            </w:pPr>
            <w:r>
              <w:t xml:space="preserve">Semantic fingerprint</w:t>
            </w:r>
          </w:p>
        </w:tc>
        <w:tc>
          <w:tcPr>
            <w:tcW w:w="7234" w:type="dxa"/>
            <w:shd w:fill="FFFFFF"/>
          </w:tcPr>
          <w:p>
            <w:pPr>
              <w:pStyle w:val="TableText"/>
            </w:pPr>
            <w:r>
              <w:t xml:space="preserve">Digest of declared meaning; not permission, freshness or an invented composition manifest.</w:t>
            </w:r>
          </w:p>
        </w:tc>
      </w:tr>
      <w:tr>
        <w:trPr>
          <w:cantSplit/>
        </w:trPr>
        <w:tc>
          <w:tcPr>
            <w:tcW w:w="2800" w:type="dxa"/>
            <w:shd w:fill="F0F5F7"/>
          </w:tcPr>
          <w:p>
            <w:pPr>
              <w:pStyle w:val="TableText"/>
            </w:pPr>
            <w:r>
              <w:t xml:space="preserve">OperationalPosition</w:t>
            </w:r>
          </w:p>
        </w:tc>
        <w:tc>
          <w:tcPr>
            <w:tcW w:w="7234" w:type="dxa"/>
            <w:shd w:fill="F0F5F7"/>
          </w:tcPr>
          <w:p>
            <w:pPr>
              <w:pStyle w:val="TableText"/>
            </w:pPr>
            <w:r>
              <w:t xml:space="preserve">TM’s reconciled managed lifecycle linked to broker truth, not a TI thesis.</w:t>
            </w:r>
          </w:p>
        </w:tc>
      </w:tr>
      <w:tr>
        <w:trPr>
          <w:cantSplit/>
        </w:trPr>
        <w:tc>
          <w:tcPr>
            <w:tcW w:w="2800" w:type="dxa"/>
            <w:shd w:fill="FFFFFF"/>
          </w:tcPr>
          <w:p>
            <w:pPr>
              <w:pStyle w:val="TableText"/>
            </w:pPr>
            <w:r>
              <w:t xml:space="preserve">MonitoringMandate</w:t>
            </w:r>
          </w:p>
        </w:tc>
        <w:tc>
          <w:tcPr>
            <w:tcW w:w="7234" w:type="dxa"/>
            <w:shd w:fill="FFFFFF"/>
          </w:tcPr>
          <w:p>
            <w:pPr>
              <w:pStyle w:val="TableText"/>
            </w:pPr>
            <w:r>
              <w:t xml:space="preserve">TI-admitted bounded intelligence work with separate subscriber intent.</w:t>
            </w:r>
          </w:p>
        </w:tc>
      </w:tr>
      <w:tr>
        <w:trPr>
          <w:cantSplit/>
        </w:trPr>
        <w:tc>
          <w:tcPr>
            <w:tcW w:w="2800" w:type="dxa"/>
            <w:shd w:fill="F0F5F7"/>
          </w:tcPr>
          <w:p>
            <w:pPr>
              <w:pStyle w:val="TableText"/>
            </w:pPr>
            <w:r>
              <w:t xml:space="preserve">CE / PE; A6 / A7</w:t>
            </w:r>
          </w:p>
        </w:tc>
        <w:tc>
          <w:tcPr>
            <w:tcW w:w="7234" w:type="dxa"/>
            <w:shd w:fill="F0F5F7"/>
          </w:tcPr>
          <w:p>
            <w:pPr>
              <w:pStyle w:val="TableText"/>
            </w:pPr>
            <w:r>
              <w:t xml:space="preserve">Call / put; future supported expression / calibrated forecasting-evaluation overlay.</w:t>
            </w:r>
          </w:p>
        </w:tc>
      </w:tr>
    </w:tbl>
    <w:p>
      <w:pPr>
        <w:pStyle w:val="Spacer"/>
      </w:pPr>
      <w:r>
        <w:t xml:space="preserve"/>
      </w:r>
    </w:p>
    <w:p>
      <w:pPr>
        <w:pStyle w:val="Source"/>
      </w:pPr>
      <w:r>
        <w:t xml:space="preserve">READ WITH  Version snapshot: 13 September 2026, Asia/Kolkata. Future idea caches are context only.</w:t>
      </w:r>
    </w:p>
    <w:sectPr>
      <w:headerReference w:type="default" r:id="rIdHeader"/>
      <w:footerReference w:type="default" r:id="rIdFooter"/>
      <w:pgSz w:w="11906" w:h="16838"/>
      <w:pgMar w:top="900" w:right="936" w:bottom="920" w:left="936" w:header="380" w:footer="430" w:gutter="0"/>
    </w:sectPr>
  </w:body>
</w:document>
</file>

<file path=word/footer1.xml><?xml version="1.0" encoding="utf-8"?>
<w:ftr xmlns:w="http://schemas.openxmlformats.org/wordprocessingml/2006/main">
  <w:p>
    <w:pPr>
      <w:pStyle w:val="Header"/>
    </w:pPr>
    <w:r>
      <w:t xml:space="preserve">Companion, not normative  •  Asia/Kolkata                                           </w:t>
    </w:r>
    <w:fldSimple w:instr="PAGE">
      <w:r>
        <w:t>1</w:t>
      </w:r>
    </w:fldSimple>
  </w:p>
</w:ftr>
</file>

<file path=word/header1.xml><?xml version="1.0" encoding="utf-8"?>
<w:hdr xmlns:w="http://schemas.openxmlformats.org/wordprocessingml/2006/main">
  <w:p>
    <w:pPr>
      <w:pStyle w:val="Header"/>
    </w:pPr>
    <w:r>
      <w:t xml:space="preserve">TI  /  TRADING ECOSYSTEM                                                ILLUSTRATED HANDBOOK</w:t>
    </w:r>
  </w:p>
</w:hdr>
</file>

<file path=word/styles.xml><?xml version="1.0" encoding="utf-8"?>
<w:styles xmlns:w="http://schemas.openxmlformats.org/wordprocessingml/2006/main">
  <w:docDefaults>
    <w:rPrDefault>
      <w:rPr>
        <w:rFonts w:ascii="DejaVu Sans" w:hAnsi="DejaVu Sans" w:cs="DejaVu Sans"/>
        <w:lang w:val="en-GB"/>
      </w:rPr>
    </w:rPrDefault>
  </w:docDefaults>
  <w:style w:type="paragraph" w:styleId="Normal">
    <w:name w:val="Normal"/>
    <w:pPr>
      <w:spacing w:before="0" w:after="140" w:line="270" w:lineRule="auto"/>
      <w:widowControl/>
    </w:pPr>
    <w:rPr>
      <w:rFonts w:ascii="DejaVu Sans" w:hAnsi="DejaVu Sans"/>
      <w:sz w:val="21"/>
      <w:color w:val="17324D"/>
    </w:rPr>
  </w:style>
  <w:style w:type="paragraph" w:styleId="Title">
    <w:name w:val="Title"/>
    <w:pPr>
      <w:spacing w:before="0" w:after="180" w:line="270" w:lineRule="auto"/>
      <w:widowControl/>
      <w:keepNext/>
      <w:keepLines/>
    </w:pPr>
    <w:rPr>
      <w:rFonts w:ascii="DejaVu Sans" w:hAnsi="DejaVu Sans"/>
      <w:sz w:val="64"/>
      <w:color w:val="17324D"/>
      <w:b/>
    </w:rPr>
  </w:style>
  <w:style w:type="paragraph" w:styleId="Heading1">
    <w:name w:val="Heading1"/>
    <w:pPr>
      <w:spacing w:before="0" w:after="180" w:line="270" w:lineRule="auto"/>
      <w:widowControl/>
      <w:keepNext/>
      <w:keepLines/>
      <w:outlineLvl w:val="0"/>
    </w:pPr>
    <w:rPr>
      <w:rFonts w:ascii="DejaVu Sans" w:hAnsi="DejaVu Sans"/>
      <w:sz w:val="45"/>
      <w:color w:val="17324D"/>
      <w:b/>
    </w:rPr>
  </w:style>
  <w:style w:type="paragraph" w:styleId="Heading2">
    <w:name w:val="Heading2"/>
    <w:pPr>
      <w:spacing w:before="100" w:after="100" w:line="270" w:lineRule="auto"/>
      <w:widowControl/>
      <w:keepNext/>
      <w:keepLines/>
      <w:outlineLvl w:val="1"/>
    </w:pPr>
    <w:rPr>
      <w:rFonts w:ascii="DejaVu Sans" w:hAnsi="DejaVu Sans"/>
      <w:sz w:val="25"/>
      <w:color w:val="17324D"/>
      <w:b/>
    </w:rPr>
  </w:style>
  <w:style w:type="paragraph" w:styleId="Lead">
    <w:name w:val="Lead"/>
    <w:pPr>
      <w:spacing w:before="0" w:after="210" w:line="270" w:lineRule="auto"/>
      <w:widowControl/>
    </w:pPr>
    <w:rPr>
      <w:rFonts w:ascii="DejaVu Sans" w:hAnsi="DejaVu Sans"/>
      <w:sz w:val="25"/>
      <w:color w:val="506478"/>
    </w:rPr>
  </w:style>
  <w:style w:type="paragraph" w:styleId="Eyebrow">
    <w:name w:val="Eyebrow"/>
    <w:pPr>
      <w:spacing w:before="0" w:after="120" w:line="270" w:lineRule="auto"/>
      <w:widowControl/>
      <w:keepNext/>
      <w:keepLines/>
    </w:pPr>
    <w:rPr>
      <w:rFonts w:ascii="DejaVu Sans" w:hAnsi="DejaVu Sans"/>
      <w:sz w:val="18"/>
      <w:color w:val="087D83"/>
      <w:b/>
    </w:rPr>
  </w:style>
  <w:style w:type="paragraph" w:styleId="Caption">
    <w:name w:val="Caption"/>
    <w:pPr>
      <w:spacing w:before="0" w:after="155" w:line="270" w:lineRule="auto"/>
      <w:widowControl/>
    </w:pPr>
    <w:rPr>
      <w:rFonts w:ascii="DejaVu Sans" w:hAnsi="DejaVu Sans"/>
      <w:sz w:val="17"/>
      <w:color w:val="506478"/>
      <w:i/>
    </w:rPr>
  </w:style>
  <w:style w:type="paragraph" w:styleId="Callout">
    <w:name w:val="Callout"/>
    <w:pPr>
      <w:spacing w:before="90" w:after="190" w:line="270" w:lineRule="auto"/>
      <w:widowControl/>
      <w:shd w:fill="E5F1F1"/>
      <w:ind w:left="160" w:right="160"/>
      <w:pBdr>
        <w:left w:val="single" w:sz="20" w:space="8" w:color="087D83"/>
      </w:pBdr>
    </w:pPr>
    <w:rPr>
      <w:rFonts w:ascii="DejaVu Sans" w:hAnsi="DejaVu Sans"/>
      <w:sz w:val="23"/>
      <w:color w:val="17324D"/>
      <w:b/>
    </w:rPr>
  </w:style>
  <w:style w:type="paragraph" w:styleId="Source">
    <w:name w:val="Source"/>
    <w:pPr>
      <w:spacing w:before="60" w:after="70" w:line="270" w:lineRule="auto"/>
      <w:widowControl/>
    </w:pPr>
    <w:rPr>
      <w:rFonts w:ascii="DejaVu Sans" w:hAnsi="DejaVu Sans"/>
      <w:sz w:val="16"/>
      <w:color w:val="506478"/>
      <w:i/>
    </w:rPr>
  </w:style>
  <w:style w:type="paragraph" w:styleId="TableText">
    <w:name w:val="TableText"/>
    <w:pPr>
      <w:spacing w:before="0" w:after="45" w:line="270" w:lineRule="auto"/>
      <w:widowControl/>
    </w:pPr>
    <w:rPr>
      <w:rFonts w:ascii="DejaVu Sans" w:hAnsi="DejaVu Sans"/>
      <w:sz w:val="18"/>
      <w:color w:val="17324D"/>
    </w:rPr>
  </w:style>
  <w:style w:type="paragraph" w:styleId="TableHead">
    <w:name w:val="TableHead"/>
    <w:pPr>
      <w:spacing w:before="0" w:after="45" w:line="270" w:lineRule="auto"/>
      <w:widowControl/>
    </w:pPr>
    <w:rPr>
      <w:rFonts w:ascii="DejaVu Sans" w:hAnsi="DejaVu Sans"/>
      <w:sz w:val="18"/>
      <w:color w:val="FFFFFF"/>
      <w:b/>
    </w:rPr>
  </w:style>
  <w:style w:type="paragraph" w:styleId="Spacer">
    <w:name w:val="Spacer"/>
    <w:pPr>
      <w:spacing w:before="0" w:after="15" w:line="270" w:lineRule="auto"/>
      <w:widowControl/>
    </w:pPr>
    <w:rPr>
      <w:rFonts w:ascii="DejaVu Sans" w:hAnsi="DejaVu Sans"/>
      <w:sz w:val="4"/>
      <w:color w:val="17324D"/>
    </w:rPr>
  </w:style>
  <w:style w:type="paragraph" w:styleId="Header">
    <w:name w:val="Header"/>
    <w:pPr>
      <w:spacing w:before="0" w:after="0" w:line="270" w:lineRule="auto"/>
      <w:widowControl/>
    </w:pPr>
    <w:rPr>
      <w:rFonts w:ascii="DejaVu Sans" w:hAnsi="DejaVu Sans"/>
      <w:sz w:val="15"/>
      <w:color w:val="506478"/>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Header" Type="http://schemas.openxmlformats.org/officeDocument/2006/relationships/header" Target="header1.xml" /><Relationship Id="rIdFooter" Type="http://schemas.openxmlformats.org/officeDocument/2006/relationships/footer" Target="footer1.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 Id="rIdImg8" Type="http://schemas.openxmlformats.org/officeDocument/2006/relationships/image" Target="media/image8.png" /><Relationship Id="rIdImg9" Type="http://schemas.openxmlformats.org/officeDocument/2006/relationships/image" Target="media/image9.png" /><Relationship Id="rIdImg10" Type="http://schemas.openxmlformats.org/officeDocument/2006/relationships/image" Target="media/image10.png" /><Relationship Id="rIdImg11" Type="http://schemas.openxmlformats.org/officeDocument/2006/relationships/image" Target="media/image11.png" /><Relationship Id="rIdImg12" Type="http://schemas.openxmlformats.org/officeDocument/2006/relationships/image" Target="media/image12.png" /><Relationship Id="rIdImg13" Type="http://schemas.openxmlformats.org/officeDocument/2006/relationships/image" Target="media/image13.png" /><Relationship Id="rIdImg14" Type="http://schemas.openxmlformats.org/officeDocument/2006/relationships/image" Target="media/image14.png" /><Relationship Id="rIdImg15" Type="http://schemas.openxmlformats.org/officeDocument/2006/relationships/image" Target="media/image15.png" /><Relationship Id="rIdImg16" Type="http://schemas.openxmlformats.org/officeDocument/2006/relationships/image" Target="media/image16.png" /><Relationship Id="rIdImg17" Type="http://schemas.openxmlformats.org/officeDocument/2006/relationships/image" Target="media/image17.png" /><Relationship Id="rIdImg18" Type="http://schemas.openxmlformats.org/officeDocument/2006/relationships/image" Target="media/image18.png" /><Relationship Id="rIdImg19" Type="http://schemas.openxmlformats.org/officeDocument/2006/relationships/image" Target="media/image19.png" /><Relationship Id="rIdImg20" Type="http://schemas.openxmlformats.org/officeDocument/2006/relationships/image" Target="media/image20.png" /><Relationship Id="rIdImg21" Type="http://schemas.openxmlformats.org/officeDocument/2006/relationships/image" Target="media/image21.png" /><Relationship Id="rIdImg22" Type="http://schemas.openxmlformats.org/officeDocument/2006/relationships/image" Target="media/image22.png" /><Relationship Id="rIdImg23" Type="http://schemas.openxmlformats.org/officeDocument/2006/relationships/image" Target="media/image23.png" /><Relationship Id="rIdImg24" Type="http://schemas.openxmlformats.org/officeDocument/2006/relationships/image" Target="media/image24.png" /><Relationship Id="rIdImg25" Type="http://schemas.openxmlformats.org/officeDocument/2006/relationships/image" Target="media/image25.png" /><Relationship Id="rIdImg26" Type="http://schemas.openxmlformats.org/officeDocument/2006/relationships/image" Target="media/image26.png" /><Relationship Id="rIdImg27" Type="http://schemas.openxmlformats.org/officeDocument/2006/relationships/image" Target="media/image27.png" /><Relationship Id="rIdImg28" Type="http://schemas.openxmlformats.org/officeDocument/2006/relationships/image" Target="media/image28.png" /><Relationship Id="rIdImg29" Type="http://schemas.openxmlformats.org/officeDocument/2006/relationships/image" Target="media/image29.png" /><Relationship Id="rIdImg30" Type="http://schemas.openxmlformats.org/officeDocument/2006/relationships/image" Target="media/image30.png" /><Relationship Id="rIdImg31" Type="http://schemas.openxmlformats.org/officeDocument/2006/relationships/image" Target="media/image31.png" /><Relationship Id="rIdImg32" Type="http://schemas.openxmlformats.org/officeDocument/2006/relationships/image" Target="media/image32.png" /><Relationship Id="rIdImg33" Type="http://schemas.openxmlformats.org/officeDocument/2006/relationships/image" Target="media/image33.png" /><Relationship Id="rIdImg34" Type="http://schemas.openxmlformats.org/officeDocument/2006/relationships/image" Target="media/image34.png" /><Relationship Id="rIdImg35" Type="http://schemas.openxmlformats.org/officeDocument/2006/relationships/image" Target="media/image35.png" /><Relationship Id="rIdImg36" Type="http://schemas.openxmlformats.org/officeDocument/2006/relationships/image" Target="media/image36.png" /><Relationship Id="rIdImg37" Type="http://schemas.openxmlformats.org/officeDocument/2006/relationships/image" Target="media/image37.png" /><Relationship Id="rIdImg38" Type="http://schemas.openxmlformats.org/officeDocument/2006/relationships/image" Target="media/image38.png" /><Relationship Id="rIdImg39" Type="http://schemas.openxmlformats.org/officeDocument/2006/relationships/image" Target="media/image39.png" /></Relationships>
</file>

<file path=docProps/core.xml><?xml version="1.0" encoding="utf-8"?>
<ns0:coreProperties xmlns:dc="http://purl.org/dc/elements/1.1/" xmlns:ns0="http://schemas.openxmlformats.org/package/2006/metadata/core-properties">
  <dc:title>The Trading Ecosystem — Illustrated Architecture Handbook</dc:title>
  <dc:creator>TradingIntelligence</dc:creator>
  <dc:description>Human-readable companion to the authoritative TIAF ecosystem architecture. Constructed examples; no live trading recommendations.</dc:description>
</ns0:coreProperties>
</file>