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TradingWorkFlow (TWF)</w:t>
      </w:r>
    </w:p>
    <w:p>
      <w:pPr>
        <w:jc w:val="center"/>
      </w:pPr>
      <w:r>
        <w:rPr>
          <w:i/>
          <w:color w:val="595959"/>
          <w:sz w:val="22"/>
        </w:rPr>
        <w:t>Component Architecture</w:t>
      </w:r>
    </w:p>
    <w:p>
      <w:pPr>
        <w:jc w:val="center"/>
      </w:pPr>
      <w:r>
        <w:t>Status: Initial architecture-stage document — review before implementation freeze.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decomposes TWF into frontend, backend, integration, persistence, and platform components. The goal is to make ownership, dependencies, and replacement seams explicit before coding.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68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8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Frontend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 Shell &amp; Navigation</w:t>
            </w:r>
          </w:p>
        </w:tc>
        <w:tc>
          <w:tcPr>
            <w:tcW w:type="dxa" w:w="5112"/>
            <w:vAlign w:val="center"/>
          </w:tcPr>
          <w:p>
            <w:r>
              <w:t>Persistent application frame, routing, global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Trader Workspace</w:t>
            </w:r>
          </w:p>
        </w:tc>
        <w:tc>
          <w:tcPr>
            <w:tcW w:type="dxa" w:w="5112"/>
            <w:vAlign w:val="center"/>
          </w:tcPr>
          <w:p>
            <w:r>
              <w:t>Selected instrument/candidate, panel composition, workflow context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Watchlists &amp; Candidates</w:t>
            </w:r>
          </w:p>
        </w:tc>
        <w:tc>
          <w:tcPr>
            <w:tcW w:type="dxa" w:w="5112"/>
            <w:vAlign w:val="center"/>
          </w:tcPr>
          <w:p>
            <w:r>
              <w:t>User-owned lists, candidate selection and filtering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TI / LLM Panels</w:t>
            </w:r>
          </w:p>
        </w:tc>
        <w:tc>
          <w:tcPr>
            <w:tcW w:type="dxa" w:w="5112"/>
            <w:vAlign w:val="center"/>
          </w:tcPr>
          <w:p>
            <w:r>
              <w:t>Thesis, claims, horizons, evidence, producer identity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TM / Risk Panels</w:t>
            </w:r>
          </w:p>
        </w:tc>
        <w:tc>
          <w:tcPr>
            <w:tcW w:type="dxa" w:w="5112"/>
            <w:vAlign w:val="center"/>
          </w:tcPr>
          <w:p>
            <w:r>
              <w:t>Risk, authority, position, adoption and monitoring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 Consoles</w:t>
            </w:r>
          </w:p>
        </w:tc>
        <w:tc>
          <w:tcPr>
            <w:tcW w:type="dxa" w:w="5112"/>
            <w:vAlign w:val="center"/>
          </w:tcPr>
          <w:p>
            <w:r>
              <w:t>Reusable streamed operational/event views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Settings / Plugins</w:t>
            </w:r>
          </w:p>
        </w:tc>
        <w:tc>
          <w:tcPr>
            <w:tcW w:type="dxa" w:w="5112"/>
            <w:vAlign w:val="center"/>
          </w:tcPr>
          <w:p>
            <w:r>
              <w:t>User preferences and service selection without authority leakage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 Center</w:t>
            </w:r>
          </w:p>
        </w:tc>
        <w:tc>
          <w:tcPr>
            <w:tcW w:type="dxa" w:w="5112"/>
            <w:vAlign w:val="center"/>
          </w:tcPr>
          <w:p>
            <w:r>
              <w:t>Alerts, system status and workflow events</w:t>
            </w:r>
          </w:p>
        </w:tc>
      </w:tr>
    </w:tbl>
    <w:p>
      <w:pPr>
        <w:pStyle w:val="Heading1"/>
      </w:pPr>
      <w:r>
        <w:t>3. Backend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 / Session</w:t>
            </w:r>
          </w:p>
        </w:tc>
        <w:tc>
          <w:tcPr>
            <w:tcW w:type="dxa" w:w="5112"/>
            <w:vAlign w:val="center"/>
          </w:tcPr>
          <w:p>
            <w:r>
              <w:t>Authenticated user/session context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 Service</w:t>
            </w:r>
          </w:p>
        </w:tc>
        <w:tc>
          <w:tcPr>
            <w:tcW w:type="dxa" w:w="5112"/>
            <w:vAlign w:val="center"/>
          </w:tcPr>
          <w:p>
            <w:r>
              <w:t>Owns TWF workflow lifecycle and transitions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Workspace Service</w:t>
            </w:r>
          </w:p>
        </w:tc>
        <w:tc>
          <w:tcPr>
            <w:tcW w:type="dxa" w:w="5112"/>
            <w:vAlign w:val="center"/>
          </w:tcPr>
          <w:p>
            <w:r>
              <w:t>Workspace, selected context and layouts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Candidate Service</w:t>
            </w:r>
          </w:p>
        </w:tc>
        <w:tc>
          <w:tcPr>
            <w:tcW w:type="dxa" w:w="5112"/>
            <w:vAlign w:val="center"/>
          </w:tcPr>
          <w:p>
            <w:r>
              <w:t>TWF candidate references and lifecycle</w:t>
            </w:r>
          </w:p>
        </w:tc>
      </w:tr>
      <w:tr>
        <w:tc>
          <w:tcPr>
            <w:tcW w:type="dxa" w:w="5112"/>
            <w:vAlign w:val="center"/>
          </w:tcPr>
          <w:p>
            <w:r>
              <w:t>Settings Service</w:t>
            </w:r>
          </w:p>
        </w:tc>
        <w:tc>
          <w:tcPr>
            <w:tcW w:type="dxa" w:w="5112"/>
            <w:vAlign w:val="center"/>
          </w:tcPr>
          <w:p>
            <w:r>
              <w:t>Preferences and safe service 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 Service</w:t>
            </w:r>
          </w:p>
        </w:tc>
        <w:tc>
          <w:tcPr>
            <w:tcW w:type="dxa" w:w="5112"/>
            <w:vAlign w:val="center"/>
          </w:tcPr>
          <w:p>
            <w:r>
              <w:t>Immutable/append-oriented workflow audit records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Realtime Gateway</w:t>
            </w:r>
          </w:p>
        </w:tc>
        <w:tc>
          <w:tcPr>
            <w:tcW w:type="dxa" w:w="5112"/>
            <w:vAlign w:val="center"/>
          </w:tcPr>
          <w:p>
            <w:r>
              <w:t>Browser streaming/session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 Client Layer</w:t>
            </w:r>
          </w:p>
        </w:tc>
        <w:tc>
          <w:tcPr>
            <w:tcW w:type="dxa" w:w="5112"/>
            <w:vAlign w:val="center"/>
          </w:tcPr>
          <w:p>
            <w:r>
              <w:t>Stable logical clients for satellite systems</w:t>
            </w:r>
          </w:p>
        </w:tc>
      </w:tr>
    </w:tbl>
    <w:p>
      <w:pPr>
        <w:pStyle w:val="Heading1"/>
      </w:pPr>
      <w:r>
        <w:t>4. Integration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Scanner Adapter</w:t>
            </w:r>
          </w:p>
        </w:tc>
        <w:tc>
          <w:tcPr>
            <w:tcW w:type="dxa" w:w="5112"/>
            <w:vAlign w:val="center"/>
          </w:tcPr>
          <w:p>
            <w:r>
              <w:t>Discovery/candidate ingestion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TI Adapter</w:t>
            </w:r>
          </w:p>
        </w:tc>
        <w:tc>
          <w:tcPr>
            <w:tcW w:type="dxa" w:w="5112"/>
            <w:vAlign w:val="center"/>
          </w:tcPr>
          <w:p>
            <w:r>
              <w:t>IntelligenceResponse and provenance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TM Adapter</w:t>
            </w:r>
          </w:p>
        </w:tc>
        <w:tc>
          <w:tcPr>
            <w:tcW w:type="dxa" w:w="5112"/>
            <w:vAlign w:val="center"/>
          </w:tcPr>
          <w:p>
            <w:r>
              <w:t>Risk/authority/position governance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LLM Adapter</w:t>
            </w:r>
          </w:p>
        </w:tc>
        <w:tc>
          <w:tcPr>
            <w:tcW w:type="dxa" w:w="5112"/>
            <w:vAlign w:val="center"/>
          </w:tcPr>
          <w:p>
            <w:r>
              <w:t>Provider-neutral active LLM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Broker Adapter</w:t>
            </w:r>
          </w:p>
        </w:tc>
        <w:tc>
          <w:tcPr>
            <w:tcW w:type="dxa" w:w="5112"/>
            <w:vAlign w:val="center"/>
          </w:tcPr>
          <w:p>
            <w:r>
              <w:t>Only where needed; broker truth normally mediated by TM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 Adapter</w:t>
            </w:r>
          </w:p>
        </w:tc>
        <w:tc>
          <w:tcPr>
            <w:tcW w:type="dxa" w:w="5112"/>
            <w:vAlign w:val="center"/>
          </w:tcPr>
          <w:p>
            <w:r>
              <w:t>Email/push/in-app providers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 Adapter</w:t>
            </w:r>
          </w:p>
        </w:tc>
        <w:tc>
          <w:tcPr>
            <w:tcW w:type="dxa" w:w="5112"/>
            <w:vAlign w:val="center"/>
          </w:tcPr>
          <w:p>
            <w:r>
              <w:t>Same-process/project 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Remote Adapter</w:t>
            </w:r>
          </w:p>
        </w:tc>
        <w:tc>
          <w:tcPr>
            <w:tcW w:type="dxa" w:w="5112"/>
            <w:vAlign w:val="center"/>
          </w:tcPr>
          <w:p>
            <w:r>
              <w:t>HTTP/gRPC/future network implementation behind same semantics</w:t>
            </w:r>
          </w:p>
        </w:tc>
      </w:tr>
    </w:tbl>
    <w:p>
      <w:pPr>
        <w:pStyle w:val="Heading1"/>
      </w:pPr>
      <w:r>
        <w:t>5. Persistence Components</w:t>
      </w:r>
    </w:p>
    <w:p>
      <w:pPr>
        <w:pStyle w:val="ListBullet"/>
      </w:pPr>
      <w:r>
        <w:t>Repository interfaces at application/domain boundary where replacement/testability benefits.</w:t>
      </w:r>
    </w:p>
    <w:p>
      <w:pPr>
        <w:pStyle w:val="ListBullet"/>
      </w:pPr>
      <w:r>
        <w:t>SQLAlchemy persistence adapter.</w:t>
      </w:r>
    </w:p>
    <w:p>
      <w:pPr>
        <w:pStyle w:val="ListBullet"/>
      </w:pPr>
      <w:r>
        <w:t>SQLite for initial development.</w:t>
      </w:r>
    </w:p>
    <w:p>
      <w:pPr>
        <w:pStyle w:val="ListBullet"/>
      </w:pPr>
      <w:r>
        <w:t>PostgreSQL for production.</w:t>
      </w:r>
    </w:p>
    <w:p>
      <w:pPr>
        <w:pStyle w:val="ListBullet"/>
      </w:pPr>
      <w:r>
        <w:t>Alembic migrations from day one.</w:t>
      </w:r>
    </w:p>
    <w:p>
      <w:pPr>
        <w:pStyle w:val="ListBullet"/>
      </w:pPr>
      <w:r>
        <w:t>Audit/event persistence kept distinct from mutable user/workflow tables where useful.</w:t>
      </w:r>
    </w:p>
    <w:p>
      <w:pPr>
        <w:pStyle w:val="Heading1"/>
      </w:pPr>
      <w:r>
        <w:t>6. Suggested Initial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Entity / value object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Ownership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Workspace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Watchlist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Candidate</w:t>
            </w:r>
          </w:p>
        </w:tc>
        <w:tc>
          <w:tcPr>
            <w:tcW w:type="dxa" w:w="5112"/>
            <w:vAlign w:val="center"/>
          </w:tcPr>
          <w:p>
            <w:r>
              <w:t>TWF reference/orchestration object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WorkflowStep / Transition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ServiceConfiguration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UserPreference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AuditEvent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External Intelligence / Position references</w:t>
            </w:r>
          </w:p>
        </w:tc>
        <w:tc>
          <w:tcPr>
            <w:tcW w:type="dxa" w:w="5112"/>
            <w:vAlign w:val="center"/>
          </w:tcPr>
          <w:p>
            <w:r>
              <w:t>Referenced, not duplicated as authority</w:t>
            </w:r>
          </w:p>
        </w:tc>
      </w:tr>
    </w:tbl>
    <w:p>
      <w:pPr>
        <w:pStyle w:val="Heading1"/>
      </w:pPr>
      <w:r>
        <w:t>7. Service Contract Pattern</w:t>
      </w:r>
    </w:p>
    <w:p>
      <w:pPr>
        <w:ind w:left="360" w:right="360"/>
        <w:shd w:fill="F3F4F6"/>
      </w:pPr>
      <w:r>
        <w:rPr>
          <w:rFonts w:ascii="Consolas" w:hAnsi="Consolas"/>
          <w:color w:val="374151"/>
          <w:sz w:val="18"/>
        </w:rPr>
        <w:t>TWF Application → Logical Service Client → LocalAdapter OR RemoteAdapter → Scanner / TI / TM / LLM / Broker</w:t>
      </w:r>
    </w:p>
    <w:p>
      <w:r>
        <w:t>Transport, endpoint URLs, credentials and retry behavior must stay outside domain semantics. Equivalent local and remote adapters must preserve service/model/claim identity.</w:t>
      </w:r>
    </w:p>
    <w:p>
      <w:pPr>
        <w:pStyle w:val="Heading1"/>
      </w:pPr>
      <w:r>
        <w:t>8. Realtime Component Model</w:t>
      </w:r>
    </w:p>
    <w:p>
      <w:pPr>
        <w:pStyle w:val="ListBullet"/>
      </w:pPr>
      <w:r>
        <w:t>WebSocket for interactive/bidirectional streams and consoles.</w:t>
      </w:r>
    </w:p>
    <w:p>
      <w:pPr>
        <w:pStyle w:val="ListBullet"/>
      </w:pPr>
      <w:r>
        <w:t>SSE where one-way streaming is sufficient.</w:t>
      </w:r>
    </w:p>
    <w:p>
      <w:pPr>
        <w:pStyle w:val="ListBullet"/>
      </w:pPr>
      <w:r>
        <w:t>Explicit connection/reconnect/stale state.</w:t>
      </w:r>
    </w:p>
    <w:p>
      <w:pPr>
        <w:pStyle w:val="ListBullet"/>
      </w:pPr>
      <w:r>
        <w:t>No event-bus platform until scaling evidence requires it.</w:t>
      </w:r>
    </w:p>
    <w:p>
      <w:pPr>
        <w:pStyle w:val="Heading1"/>
      </w:pPr>
      <w:r>
        <w:t>9. Configuration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Configuration class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 Preference</w:t>
            </w:r>
          </w:p>
        </w:tc>
        <w:tc>
          <w:tcPr>
            <w:tcW w:type="dxa" w:w="5112"/>
            <w:vAlign w:val="center"/>
          </w:tcPr>
          <w:p>
            <w:r>
              <w:t>theme, layout, display defaults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Workspace Configuration</w:t>
            </w:r>
          </w:p>
        </w:tc>
        <w:tc>
          <w:tcPr>
            <w:tcW w:type="dxa" w:w="5112"/>
            <w:vAlign w:val="center"/>
          </w:tcPr>
          <w:p>
            <w:r>
              <w:t>active watchlist, layout, active instrument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 Configuration</w:t>
            </w:r>
          </w:p>
        </w:tc>
        <w:tc>
          <w:tcPr>
            <w:tcW w:type="dxa" w:w="5112"/>
            <w:vAlign w:val="center"/>
          </w:tcPr>
          <w:p>
            <w:r>
              <w:t>TI/TM/scanner endpoints and capabilities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LLM Configuration</w:t>
            </w:r>
          </w:p>
        </w:tc>
        <w:tc>
          <w:tcPr>
            <w:tcW w:type="dxa" w:w="5112"/>
            <w:vAlign w:val="center"/>
          </w:tcPr>
          <w:p>
            <w:r>
              <w:t>provider/model/prompt/tool/orchestration versions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Configuration</w:t>
            </w:r>
          </w:p>
        </w:tc>
        <w:tc>
          <w:tcPr>
            <w:tcW w:type="dxa" w:w="5112"/>
            <w:vAlign w:val="center"/>
          </w:tcPr>
          <w:p>
            <w:r>
              <w:t>secrets, service authentication; never ordinary UI preferences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Trading Authority</w:t>
            </w:r>
          </w:p>
        </w:tc>
        <w:tc>
          <w:tcPr>
            <w:tcW w:type="dxa" w:w="5112"/>
            <w:vAlign w:val="center"/>
          </w:tcPr>
          <w:p>
            <w:r>
              <w:t>TM-owned; not granted by TWF settings</w:t>
            </w:r>
          </w:p>
        </w:tc>
      </w:tr>
    </w:tbl>
    <w:p>
      <w:pPr>
        <w:pStyle w:val="Heading1"/>
      </w:pPr>
      <w:r>
        <w:t>10. Failure / Degradation Components</w:t>
      </w:r>
    </w:p>
    <w:p>
      <w:pPr>
        <w:pStyle w:val="ListBullet"/>
      </w:pPr>
      <w:r>
        <w:t>Service health model</w:t>
      </w:r>
    </w:p>
    <w:p>
      <w:pPr>
        <w:pStyle w:val="ListBullet"/>
      </w:pPr>
      <w:r>
        <w:t>Typed unavailable/timeout/version-mismatch errors</w:t>
      </w:r>
    </w:p>
    <w:p>
      <w:pPr>
        <w:pStyle w:val="ListBullet"/>
      </w:pPr>
      <w:r>
        <w:t>Stale-data markers</w:t>
      </w:r>
    </w:p>
    <w:p>
      <w:pPr>
        <w:pStyle w:val="ListBullet"/>
      </w:pPr>
      <w:r>
        <w:t>No silent provider failover without actual producer identity</w:t>
      </w:r>
    </w:p>
    <w:p>
      <w:pPr>
        <w:pStyle w:val="ListBullet"/>
      </w:pPr>
      <w:r>
        <w:t>UI degradation state distinct from workflow state</w:t>
      </w:r>
    </w:p>
    <w:p>
      <w:pPr>
        <w:pStyle w:val="Heading1"/>
      </w:pPr>
      <w:r>
        <w:t>11. Dependency Rules</w:t>
      </w:r>
    </w:p>
    <w:p>
      <w:pPr>
        <w:pStyle w:val="ListBullet"/>
      </w:pPr>
      <w:r>
        <w:t>Frontend depends on TWF APIs/contracts, not satellite SDK internals.</w:t>
      </w:r>
    </w:p>
    <w:p>
      <w:pPr>
        <w:pStyle w:val="ListBullet"/>
      </w:pPr>
      <w:r>
        <w:t>Domain/application layers do not import DB engines or provider SDKs.</w:t>
      </w:r>
    </w:p>
    <w:p>
      <w:pPr>
        <w:pStyle w:val="ListBullet"/>
      </w:pPr>
      <w:r>
        <w:t>Integration adapters depend inward on stable contracts.</w:t>
      </w:r>
    </w:p>
    <w:p>
      <w:pPr>
        <w:pStyle w:val="ListBullet"/>
      </w:pPr>
      <w:r>
        <w:t>TM state is referenced, not copied as a second authority.</w:t>
      </w:r>
    </w:p>
    <w:p>
      <w:pPr>
        <w:pStyle w:val="ListBullet"/>
      </w:pPr>
      <w:r>
        <w:t>LLM provider SDKs remain behind provider-neutral adapter boundaries.</w:t>
      </w:r>
    </w:p>
    <w:p>
      <w:pPr>
        <w:pStyle w:val="Heading1"/>
      </w:pPr>
      <w:r>
        <w:t>12. Pre-Coding Component Decisions Still Needed</w:t>
      </w:r>
    </w:p>
    <w:p>
      <w:pPr>
        <w:pStyle w:val="ListBullet"/>
      </w:pPr>
      <w:r>
        <w:t>Exact frontend UI component library</w:t>
      </w:r>
    </w:p>
    <w:p>
      <w:pPr>
        <w:pStyle w:val="ListBullet"/>
      </w:pPr>
      <w:r>
        <w:t>Charting/TradingView integration strategy</w:t>
      </w:r>
    </w:p>
    <w:p>
      <w:pPr>
        <w:pStyle w:val="ListBullet"/>
      </w:pPr>
      <w:r>
        <w:t>Auth/session library/provider</w:t>
      </w:r>
    </w:p>
    <w:p>
      <w:pPr>
        <w:pStyle w:val="ListBullet"/>
      </w:pPr>
      <w:r>
        <w:t>Frontend server-state library</w:t>
      </w:r>
    </w:p>
    <w:p>
      <w:pPr>
        <w:pStyle w:val="ListBullet"/>
      </w:pPr>
      <w:r>
        <w:t>Service contract serialization/versioning conventions</w:t>
      </w:r>
    </w:p>
    <w:p>
      <w:pPr>
        <w:pStyle w:val="ListBullet"/>
      </w:pPr>
      <w:r>
        <w:t>Background job boundary</w:t>
      </w:r>
    </w:p>
    <w:p>
      <w:pPr>
        <w:pStyle w:val="ListBullet"/>
      </w:pPr>
      <w:r>
        <w:t>Repository/package structure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