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TWF Data Architecture</w:t>
      </w:r>
    </w:p>
    <w:p>
      <w:pPr>
        <w:jc w:val="center"/>
      </w:pPr>
      <w:r>
        <w:rPr>
          <w:i/>
          <w:sz w:val="20"/>
        </w:rPr>
        <w:t>TradingWorkFlow (TWF) — Architecture Reference</w:t>
      </w:r>
    </w:p>
    <w:p/>
    <w:p>
      <w:pPr>
        <w:pStyle w:val="Heading1"/>
      </w:pPr>
      <w:r>
        <w:t>Architecture at a Glance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r>
              <w:rPr>
                <w:rFonts w:ascii="DejaVu Sans Mono" w:hAnsi="DejaVu Sans Mono"/>
                <w:sz w:val="16"/>
              </w:rPr>
              <w:t>Domain / Application</w:t>
              <w:br/>
              <w:t xml:space="preserve">        ↓</w:t>
              <w:br/>
              <w:t>Repository Interfaces</w:t>
              <w:br/>
              <w:t xml:space="preserve">        ↓</w:t>
              <w:br/>
              <w:t>Persistence Adapters</w:t>
              <w:br/>
              <w:t xml:space="preserve">        ↓</w:t>
              <w:br/>
              <w:t xml:space="preserve">     SQLAlchemy</w:t>
              <w:br/>
              <w:t xml:space="preserve">      /      \</w:t>
              <w:br/>
              <w:t xml:space="preserve"> SQLite    PostgreSQL</w:t>
              <w:br/>
              <w:br/>
              <w:t>External TI/TM/Broker state remains authoritative.</w:t>
            </w:r>
          </w:p>
        </w:tc>
      </w:tr>
    </w:tbl>
    <w:p>
      <w:pPr>
        <w:pStyle w:val="Heading1"/>
      </w:pPr>
      <w:r>
        <w:t>Purpose</w:t>
      </w:r>
    </w:p>
    <w:p>
      <w:r>
        <w:t>Define TWF data ownership, persistence boundaries, repository abstractions, SQLite-to-PostgreSQL portability, auditability, and multi-user readiness.</w:t>
      </w:r>
    </w:p>
    <w:p>
      <w:pPr>
        <w:pStyle w:val="Heading1"/>
      </w:pPr>
      <w:r>
        <w:t>Ownership Model</w:t>
      </w:r>
    </w:p>
    <w:p>
      <w:r>
        <w:t>TWF owns users, workspaces, preferences, watchlists, workflow/candidate state, service configuration, notifications, audit events, and correlation records. TI, TM, brokers, and scanners remain authoritative for their own internal state.</w:t>
      </w:r>
    </w:p>
    <w:p>
      <w:pPr>
        <w:pStyle w:val="Heading1"/>
      </w:pPr>
      <w:r>
        <w:t>Persistence Architecture</w:t>
      </w:r>
    </w:p>
    <w:p>
      <w:r>
        <w:t>Application/domain services depend on repository interfaces and persistence adapters. SQLAlchemy is the proposed implementation layer, with SQLite for development and PostgreSQL for production.</w:t>
      </w:r>
    </w:p>
    <w:p>
      <w:pPr>
        <w:pStyle w:val="Heading1"/>
      </w:pPr>
      <w:r>
        <w:t>Identity and Correlation</w:t>
      </w:r>
    </w:p>
    <w:p>
      <w:r>
        <w:t>Use stable TWF domain IDs and preserve external TI/TM/broker/scanner IDs separately. Cross-service lineage must be explicit rather than encoded into presentation strings.</w:t>
      </w:r>
    </w:p>
    <w:p>
      <w:pPr>
        <w:pStyle w:val="Heading1"/>
      </w:pPr>
      <w:r>
        <w:t>SQLite to PostgreSQL</w:t>
      </w:r>
    </w:p>
    <w:p>
      <w:pPr>
        <w:pStyle w:val="ListBullet"/>
      </w:pPr>
      <w:r>
        <w:t>No SQLite-specific SQL in domain/application logic.</w:t>
      </w:r>
    </w:p>
    <w:p>
      <w:pPr>
        <w:pStyle w:val="ListBullet"/>
      </w:pPr>
      <w:r>
        <w:t>Use Alembic migrations from the first persistent schema.</w:t>
      </w:r>
    </w:p>
    <w:p>
      <w:pPr>
        <w:pStyle w:val="ListBullet"/>
      </w:pPr>
      <w:r>
        <w:t>Avoid relying on permissive SQLite typing.</w:t>
      </w:r>
    </w:p>
    <w:p>
      <w:pPr>
        <w:pStyle w:val="ListBullet"/>
      </w:pPr>
      <w:r>
        <w:t>Test constraints, transactions, and concurrency-sensitive behavior explicitly.</w:t>
      </w:r>
    </w:p>
    <w:p>
      <w:pPr>
        <w:pStyle w:val="ListBullet"/>
      </w:pPr>
      <w:r>
        <w:t>Production acceptance requires PostgreSQL integration tests.</w:t>
      </w:r>
    </w:p>
    <w:p>
      <w:pPr>
        <w:pStyle w:val="Heading1"/>
      </w:pPr>
      <w:r>
        <w:t>Transactions and Distributed Actions</w:t>
      </w:r>
    </w:p>
    <w:p>
      <w:r>
        <w:t>Do not use distributed database transactions across TI/TM/broker services. Use local DB transactions, idempotency keys, workflow states, correlation IDs, and reconciliation.</w:t>
      </w:r>
    </w:p>
    <w:p>
      <w:pPr>
        <w:pStyle w:val="Heading1"/>
      </w:pPr>
      <w:r>
        <w:t>Audit and Snapshots</w:t>
      </w:r>
    </w:p>
    <w:p>
      <w:r>
        <w:t>Audit meaningful TWF workflow transitions. Persist immutable snapshots only where later history/reproducibility requires exactly what the trader saw; otherwise preserve authoritative external references.</w:t>
      </w:r>
    </w:p>
    <w:p>
      <w:pPr>
        <w:pStyle w:val="Heading1"/>
      </w:pPr>
      <w:r>
        <w:t>Multi-User Readiness</w:t>
      </w:r>
    </w:p>
    <w:p>
      <w:r>
        <w:t>Every user-scoped record must carry explicit user/workspace/account ownership. Future tenant isolation must not require redesigning core tables.</w:t>
      </w:r>
    </w:p>
    <w:p>
      <w:pPr>
        <w:pStyle w:val="Heading1"/>
      </w:pPr>
      <w:r>
        <w:t>Security and Retention</w:t>
      </w:r>
    </w:p>
    <w:p>
      <w:r>
        <w:t>Secrets should not live in ordinary domain tables. Retention rules should later distinguish audit, console logs, notifications, snapshots, and service events.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