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TradingWorkFlow (TWF)</w:t>
      </w:r>
    </w:p>
    <w:p>
      <w:pPr>
        <w:jc w:val="center"/>
      </w:pPr>
      <w:r>
        <w:rPr>
          <w:i/>
          <w:color w:val="595959"/>
          <w:sz w:val="22"/>
        </w:rPr>
        <w:t>Deployment Architecture</w:t>
      </w:r>
    </w:p>
    <w:p>
      <w:pPr>
        <w:jc w:val="center"/>
      </w:pPr>
      <w:r>
        <w:t>Status: Initial architecture-stage document — review before implementation freeze.</w:t>
      </w:r>
    </w:p>
    <w:p>
      <w:r>
        <w:br w:type="page"/>
      </w:r>
    </w:p>
    <w:p>
      <w:pPr>
        <w:pStyle w:val="Heading1"/>
      </w:pPr>
      <w:r>
        <w:t>1. Purpose</w:t>
      </w:r>
    </w:p>
    <w:p>
      <w:r>
        <w:t>This document defines how the same logical TWF architecture can run locally during development and evolve into a secure, multi-user cloud product without changing business semantics.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45046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504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Deployment Principles</w:t>
      </w:r>
    </w:p>
    <w:p>
      <w:pPr>
        <w:pStyle w:val="ListBullet"/>
      </w:pPr>
      <w:r>
        <w:t>Docker-first, cloud-neutral architecture.</w:t>
      </w:r>
    </w:p>
    <w:p>
      <w:pPr>
        <w:pStyle w:val="ListBullet"/>
      </w:pPr>
      <w:r>
        <w:t>Logical services independent of physical location.</w:t>
      </w:r>
    </w:p>
    <w:p>
      <w:pPr>
        <w:pStyle w:val="ListBullet"/>
      </w:pPr>
      <w:r>
        <w:t>Local and remote adapters share semantic contracts.</w:t>
      </w:r>
    </w:p>
    <w:p>
      <w:pPr>
        <w:pStyle w:val="ListBullet"/>
      </w:pPr>
      <w:r>
        <w:t>SQLite is development-only by default; PostgreSQL is production target.</w:t>
      </w:r>
    </w:p>
    <w:p>
      <w:pPr>
        <w:pStyle w:val="ListBullet"/>
      </w:pPr>
      <w:r>
        <w:t>No Kubernetes/service mesh until operational evidence justifies it.</w:t>
      </w:r>
    </w:p>
    <w:p>
      <w:pPr>
        <w:pStyle w:val="ListBullet"/>
      </w:pPr>
      <w:r>
        <w:t>Multi-user ownership considered from first schema.</w:t>
      </w:r>
    </w:p>
    <w:p>
      <w:pPr>
        <w:pStyle w:val="ListBullet"/>
      </w:pPr>
      <w:r>
        <w:t>Secrets are externalized from normal application data/configuration.</w:t>
      </w:r>
    </w:p>
    <w:p>
      <w:pPr>
        <w:pStyle w:val="Heading1"/>
      </w:pPr>
      <w:r>
        <w:t>3. Development Topology</w:t>
      </w:r>
    </w:p>
    <w:p>
      <w:pPr>
        <w:ind w:left="360" w:right="360"/>
        <w:shd w:fill="F3F4F6"/>
      </w:pPr>
      <w:r>
        <w:rPr>
          <w:rFonts w:ascii="Consolas" w:hAnsi="Consolas"/>
          <w:color w:val="374151"/>
          <w:sz w:val="18"/>
        </w:rPr>
        <w:t>Browser → Next.js dev server → FastAPI dev backend → SQLite</w:t>
        <w:br/>
        <w:t xml:space="preserve">                                  ↘ Local/Synthetic Scanner/TI/TM/LLM adapters</w:t>
      </w:r>
    </w:p>
    <w:p>
      <w:pPr>
        <w:pStyle w:val="ListBullet"/>
      </w:pPr>
      <w:r>
        <w:t>Single developer machine friendly.</w:t>
      </w:r>
    </w:p>
    <w:p>
      <w:pPr>
        <w:pStyle w:val="ListBullet"/>
      </w:pPr>
      <w:r>
        <w:t>Synthetic/local adapters permit workflow development even when satellite projects are unavailable.</w:t>
      </w:r>
    </w:p>
    <w:p>
      <w:pPr>
        <w:pStyle w:val="ListBullet"/>
      </w:pPr>
      <w:r>
        <w:t>Real remote services can be enabled selectively through configuration.</w:t>
      </w:r>
    </w:p>
    <w:p>
      <w:pPr>
        <w:pStyle w:val="Heading1"/>
      </w:pPr>
      <w:r>
        <w:t>4. Early Integrated Topology</w:t>
      </w:r>
    </w:p>
    <w:p>
      <w:pPr>
        <w:ind w:left="360" w:right="360"/>
        <w:shd w:fill="F3F4F6"/>
      </w:pPr>
      <w:r>
        <w:rPr>
          <w:rFonts w:ascii="Consolas" w:hAnsi="Consolas"/>
          <w:color w:val="374151"/>
          <w:sz w:val="18"/>
        </w:rPr>
        <w:t>Browser → TWF Web → TWF API → SQLite/PostgreSQL</w:t>
        <w:br/>
        <w:t xml:space="preserve">                         ├→ Scanner service</w:t>
        <w:br/>
        <w:t xml:space="preserve">                         ├→ TI service</w:t>
        <w:br/>
        <w:t xml:space="preserve">                         ├→ TM service</w:t>
        <w:br/>
        <w:t xml:space="preserve">                         └→ LLM provider</w:t>
      </w:r>
    </w:p>
    <w:p>
      <w:r>
        <w:t>Services may be local processes, remote projects, containers or hosted APIs. The TWF application should not change domain behavior based on placement.</w:t>
      </w:r>
    </w:p>
    <w:p>
      <w:pPr>
        <w:pStyle w:val="Heading1"/>
      </w:pPr>
      <w:r>
        <w:t>5. Production Cloud Topology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Zone / component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Production direction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Edge/Web</w:t>
            </w:r>
          </w:p>
        </w:tc>
        <w:tc>
          <w:tcPr>
            <w:tcW w:type="dxa" w:w="5112"/>
            <w:vAlign w:val="center"/>
          </w:tcPr>
          <w:p>
            <w:r>
              <w:t>TLS, CDN/reverse proxy, web frontend</w:t>
            </w:r>
          </w:p>
        </w:tc>
      </w:tr>
      <w:tr>
        <w:tc>
          <w:tcPr>
            <w:tcW w:type="dxa" w:w="5112"/>
            <w:vAlign w:val="center"/>
          </w:tcPr>
          <w:p>
            <w:r>
              <w:t>Application</w:t>
            </w:r>
          </w:p>
        </w:tc>
        <w:tc>
          <w:tcPr>
            <w:tcW w:type="dxa" w:w="5112"/>
            <w:vAlign w:val="center"/>
          </w:tcPr>
          <w:p>
            <w:r>
              <w:t>TWF FastAPI backend, horizontally scalable later</w:t>
            </w:r>
          </w:p>
        </w:tc>
      </w:tr>
      <w:tr>
        <w:tc>
          <w:tcPr>
            <w:tcW w:type="dxa" w:w="5112"/>
            <w:vAlign w:val="center"/>
          </w:tcPr>
          <w:p>
            <w:r>
              <w:t>Database</w:t>
            </w:r>
          </w:p>
        </w:tc>
        <w:tc>
          <w:tcPr>
            <w:tcW w:type="dxa" w:w="5112"/>
            <w:vAlign w:val="center"/>
          </w:tcPr>
          <w:p>
            <w:r>
              <w:t>Managed PostgreSQL</w:t>
            </w:r>
          </w:p>
        </w:tc>
      </w:tr>
      <w:tr>
        <w:tc>
          <w:tcPr>
            <w:tcW w:type="dxa" w:w="5112"/>
            <w:vAlign w:val="center"/>
          </w:tcPr>
          <w:p>
            <w:r>
              <w:t>Cache/Worker</w:t>
            </w:r>
          </w:p>
        </w:tc>
        <w:tc>
          <w:tcPr>
            <w:tcW w:type="dxa" w:w="5112"/>
            <w:vAlign w:val="center"/>
          </w:tcPr>
          <w:p>
            <w:r>
              <w:t>Redis/task worker only when justified</w:t>
            </w:r>
          </w:p>
        </w:tc>
      </w:tr>
      <w:tr>
        <w:tc>
          <w:tcPr>
            <w:tcW w:type="dxa" w:w="5112"/>
            <w:vAlign w:val="center"/>
          </w:tcPr>
          <w:p>
            <w:r>
              <w:t>Satellite services</w:t>
            </w:r>
          </w:p>
        </w:tc>
        <w:tc>
          <w:tcPr>
            <w:tcW w:type="dxa" w:w="5112"/>
            <w:vAlign w:val="center"/>
          </w:tcPr>
          <w:p>
            <w:r>
              <w:t>TI/TM/scanners local to cloud or remote</w:t>
            </w:r>
          </w:p>
        </w:tc>
      </w:tr>
      <w:tr>
        <w:tc>
          <w:tcPr>
            <w:tcW w:type="dxa" w:w="5112"/>
            <w:vAlign w:val="center"/>
          </w:tcPr>
          <w:p>
            <w:r>
              <w:t>LLM</w:t>
            </w:r>
          </w:p>
        </w:tc>
        <w:tc>
          <w:tcPr>
            <w:tcW w:type="dxa" w:w="5112"/>
            <w:vAlign w:val="center"/>
          </w:tcPr>
          <w:p>
            <w:r>
              <w:t>Provider-neutral external/internal service</w:t>
            </w:r>
          </w:p>
        </w:tc>
      </w:tr>
      <w:tr>
        <w:tc>
          <w:tcPr>
            <w:tcW w:type="dxa" w:w="5112"/>
            <w:vAlign w:val="center"/>
          </w:tcPr>
          <w:p>
            <w:r>
              <w:t>Broker</w:t>
            </w:r>
          </w:p>
        </w:tc>
        <w:tc>
          <w:tcPr>
            <w:tcW w:type="dxa" w:w="5112"/>
            <w:vAlign w:val="center"/>
          </w:tcPr>
          <w:p>
            <w:r>
              <w:t>Remote broker APIs; authority normally mediated by TM</w:t>
            </w:r>
          </w:p>
        </w:tc>
      </w:tr>
      <w:tr>
        <w:tc>
          <w:tcPr>
            <w:tcW w:type="dxa" w:w="5112"/>
            <w:vAlign w:val="center"/>
          </w:tcPr>
          <w:p>
            <w:r>
              <w:t>Observability</w:t>
            </w:r>
          </w:p>
        </w:tc>
        <w:tc>
          <w:tcPr>
            <w:tcW w:type="dxa" w:w="5112"/>
            <w:vAlign w:val="center"/>
          </w:tcPr>
          <w:p>
            <w:r>
              <w:t>Central logs, metrics, traces, health dashboards</w:t>
            </w:r>
          </w:p>
        </w:tc>
      </w:tr>
      <w:tr>
        <w:tc>
          <w:tcPr>
            <w:tcW w:type="dxa" w:w="5112"/>
            <w:vAlign w:val="center"/>
          </w:tcPr>
          <w:p>
            <w:r>
              <w:t>Secrets</w:t>
            </w:r>
          </w:p>
        </w:tc>
        <w:tc>
          <w:tcPr>
            <w:tcW w:type="dxa" w:w="5112"/>
            <w:vAlign w:val="center"/>
          </w:tcPr>
          <w:p>
            <w:r>
              <w:t>Cloud secret manager / secure environment injection</w:t>
            </w:r>
          </w:p>
        </w:tc>
      </w:tr>
    </w:tbl>
    <w:p>
      <w:pPr>
        <w:pStyle w:val="Heading1"/>
      </w:pPr>
      <w:r>
        <w:t>6. Multi-User / Subscription Deployment</w:t>
      </w:r>
    </w:p>
    <w:p>
      <w:pPr>
        <w:pStyle w:val="ListBullet"/>
      </w:pPr>
      <w:r>
        <w:t>Every durable user-owned record carries explicit ownership scope.</w:t>
      </w:r>
    </w:p>
    <w:p>
      <w:pPr>
        <w:pStyle w:val="ListBullet"/>
      </w:pPr>
      <w:r>
        <w:t>Authentication and application authorization are separate from broker/trading authority.</w:t>
      </w:r>
    </w:p>
    <w:p>
      <w:pPr>
        <w:pStyle w:val="ListBullet"/>
      </w:pPr>
      <w:r>
        <w:t>Subscription/entitlement layer is additive; do not entangle billing logic with workflow domain.</w:t>
      </w:r>
    </w:p>
    <w:p>
      <w:pPr>
        <w:pStyle w:val="ListBullet"/>
      </w:pPr>
      <w:r>
        <w:t>Rate/usage controls can be added at service/application boundary.</w:t>
      </w:r>
    </w:p>
    <w:p>
      <w:pPr>
        <w:pStyle w:val="Heading1"/>
      </w:pPr>
      <w:r>
        <w:t>7. Database Evolution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Database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Requirements</w:t>
            </w:r>
          </w:p>
        </w:tc>
      </w:tr>
      <w:tr>
        <w:tc>
          <w:tcPr>
            <w:tcW w:type="dxa" w:w="3408"/>
            <w:vAlign w:val="center"/>
          </w:tcPr>
          <w:p>
            <w:r>
              <w:t>Local development</w:t>
            </w:r>
          </w:p>
        </w:tc>
        <w:tc>
          <w:tcPr>
            <w:tcW w:type="dxa" w:w="3408"/>
            <w:vAlign w:val="center"/>
          </w:tcPr>
          <w:p>
            <w:r>
              <w:t>SQLite</w:t>
            </w:r>
          </w:p>
        </w:tc>
        <w:tc>
          <w:tcPr>
            <w:tcW w:type="dxa" w:w="3408"/>
            <w:vAlign w:val="center"/>
          </w:tcPr>
          <w:p>
            <w:r>
              <w:t>Migrations, portable types, realistic constraints</w:t>
            </w:r>
          </w:p>
        </w:tc>
      </w:tr>
      <w:tr>
        <w:tc>
          <w:tcPr>
            <w:tcW w:type="dxa" w:w="3408"/>
            <w:vAlign w:val="center"/>
          </w:tcPr>
          <w:p>
            <w:r>
              <w:t>Integrated test</w:t>
            </w:r>
          </w:p>
        </w:tc>
        <w:tc>
          <w:tcPr>
            <w:tcW w:type="dxa" w:w="3408"/>
            <w:vAlign w:val="center"/>
          </w:tcPr>
          <w:p>
            <w:r>
              <w:t>SQLite + PostgreSQL CI where practical</w:t>
            </w:r>
          </w:p>
        </w:tc>
        <w:tc>
          <w:tcPr>
            <w:tcW w:type="dxa" w:w="3408"/>
            <w:vAlign w:val="center"/>
          </w:tcPr>
          <w:p>
            <w:r>
              <w:t>Catch portability/concurrency issues</w:t>
            </w:r>
          </w:p>
        </w:tc>
      </w:tr>
      <w:tr>
        <w:tc>
          <w:tcPr>
            <w:tcW w:type="dxa" w:w="3408"/>
            <w:vAlign w:val="center"/>
          </w:tcPr>
          <w:p>
            <w:r>
              <w:t>Production</w:t>
            </w:r>
          </w:p>
        </w:tc>
        <w:tc>
          <w:tcPr>
            <w:tcW w:type="dxa" w:w="3408"/>
            <w:vAlign w:val="center"/>
          </w:tcPr>
          <w:p>
            <w:r>
              <w:t>Managed PostgreSQL</w:t>
            </w:r>
          </w:p>
        </w:tc>
        <w:tc>
          <w:tcPr>
            <w:tcW w:type="dxa" w:w="3408"/>
            <w:vAlign w:val="center"/>
          </w:tcPr>
          <w:p>
            <w:r>
              <w:t>Indexes, backups, PITR, connection pooling, monitoring</w:t>
            </w:r>
          </w:p>
        </w:tc>
      </w:tr>
    </w:tbl>
    <w:p>
      <w:pPr>
        <w:pStyle w:val="Heading1"/>
      </w:pPr>
      <w:r>
        <w:t>8. Realtime Deployment</w:t>
      </w:r>
    </w:p>
    <w:p>
      <w:pPr>
        <w:pStyle w:val="ListBullet"/>
      </w:pPr>
      <w:r>
        <w:t>WebSocket/SSE connections terminate at TWF backend/realtime gateway.</w:t>
      </w:r>
    </w:p>
    <w:p>
      <w:pPr>
        <w:pStyle w:val="ListBullet"/>
      </w:pPr>
      <w:r>
        <w:t>Multi-instance scaling later requires shared coordination only when needed.</w:t>
      </w:r>
    </w:p>
    <w:p>
      <w:pPr>
        <w:pStyle w:val="ListBullet"/>
      </w:pPr>
      <w:r>
        <w:t>Redis/pub-sub should be introduced only when one-instance semantics no longer suffice.</w:t>
      </w:r>
    </w:p>
    <w:p>
      <w:pPr>
        <w:pStyle w:val="ListBullet"/>
      </w:pPr>
      <w:r>
        <w:t>Reconnect/resume semantics must be explicit for trader UX.</w:t>
      </w:r>
    </w:p>
    <w:p>
      <w:pPr>
        <w:pStyle w:val="Heading1"/>
      </w:pPr>
      <w:r>
        <w:t>9. Security Zones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Boundary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Rule</w:t>
            </w:r>
          </w:p>
        </w:tc>
      </w:tr>
      <w:tr>
        <w:tc>
          <w:tcPr>
            <w:tcW w:type="dxa" w:w="5112"/>
            <w:vAlign w:val="center"/>
          </w:tcPr>
          <w:p>
            <w:r>
              <w:t>Browser ↔ TWF</w:t>
            </w:r>
          </w:p>
        </w:tc>
        <w:tc>
          <w:tcPr>
            <w:tcW w:type="dxa" w:w="5112"/>
            <w:vAlign w:val="center"/>
          </w:tcPr>
          <w:p>
            <w:r>
              <w:t>Authenticated TLS session; no broker/provider secrets in browser</w:t>
            </w:r>
          </w:p>
        </w:tc>
      </w:tr>
      <w:tr>
        <w:tc>
          <w:tcPr>
            <w:tcW w:type="dxa" w:w="5112"/>
            <w:vAlign w:val="center"/>
          </w:tcPr>
          <w:p>
            <w:r>
              <w:t>TWF ↔ Satellite service</w:t>
            </w:r>
          </w:p>
        </w:tc>
        <w:tc>
          <w:tcPr>
            <w:tcW w:type="dxa" w:w="5112"/>
            <w:vAlign w:val="center"/>
          </w:tcPr>
          <w:p>
            <w:r>
              <w:t>Authenticated service call when remote; version/capability validation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TWF ↔ LLM provider</w:t>
            </w:r>
          </w:p>
        </w:tc>
        <w:tc>
          <w:tcPr>
            <w:tcW w:type="dxa" w:w="5112"/>
            <w:vAlign w:val="center"/>
          </w:tcPr>
          <w:p>
            <w:r>
              <w:t>Provider credentials server-side only; actual provider/model recorded</w:t>
            </w:r>
          </w:p>
        </w:tc>
      </w:tr>
      <w:tr>
        <w:tc>
          <w:tcPr>
            <w:tcW w:type="dxa" w:w="5112"/>
            <w:vAlign w:val="center"/>
          </w:tcPr>
          <w:p>
            <w:r>
              <w:t>TM ↔ Broker</w:t>
            </w:r>
          </w:p>
        </w:tc>
        <w:tc>
          <w:tcPr>
            <w:tcW w:type="dxa" w:w="5112"/>
            <w:vAlign w:val="center"/>
          </w:tcPr>
          <w:p>
            <w:r>
              <w:t>Broker credentials and execution authority remain TM/broker concern</w:t>
            </w:r>
          </w:p>
        </w:tc>
      </w:tr>
      <w:tr>
        <w:tc>
          <w:tcPr>
            <w:tcW w:type="dxa" w:w="5112"/>
            <w:vAlign w:val="center"/>
          </w:tcPr>
          <w:p>
            <w:r>
              <w:t>DB</w:t>
            </w:r>
          </w:p>
        </w:tc>
        <w:tc>
          <w:tcPr>
            <w:tcW w:type="dxa" w:w="5112"/>
            <w:vAlign w:val="center"/>
          </w:tcPr>
          <w:p>
            <w:r>
              <w:t>Private network access in production; encrypted backups and least privilege</w:t>
            </w:r>
          </w:p>
        </w:tc>
      </w:tr>
    </w:tbl>
    <w:p>
      <w:pPr>
        <w:pStyle w:val="Heading1"/>
      </w:pPr>
      <w:r>
        <w:t>10. Availability and Degradation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Failure</w:t>
            </w:r>
          </w:p>
        </w:tc>
        <w:tc>
          <w:tcPr>
            <w:tcW w:type="dxa" w:w="5112"/>
            <w:shd w:fill="D9EAF7"/>
            <w:vAlign w:val="center"/>
          </w:tcPr>
          <w:p>
            <w:r>
              <w:rPr>
                <w:b/>
              </w:rPr>
              <w:t>Expected TWF behavior</w:t>
            </w:r>
          </w:p>
        </w:tc>
      </w:tr>
      <w:tr>
        <w:tc>
          <w:tcPr>
            <w:tcW w:type="dxa" w:w="5112"/>
            <w:vAlign w:val="center"/>
          </w:tcPr>
          <w:p>
            <w:r>
              <w:t>TI unavailable</w:t>
            </w:r>
          </w:p>
        </w:tc>
        <w:tc>
          <w:tcPr>
            <w:tcW w:type="dxa" w:w="5112"/>
            <w:vAlign w:val="center"/>
          </w:tcPr>
          <w:p>
            <w:r>
              <w:t>Show analysis unavailable/stale; do not fabricate advice</w:t>
            </w:r>
          </w:p>
        </w:tc>
      </w:tr>
      <w:tr>
        <w:tc>
          <w:tcPr>
            <w:tcW w:type="dxa" w:w="5112"/>
            <w:vAlign w:val="center"/>
          </w:tcPr>
          <w:p>
            <w:r>
              <w:t>TM unavailable</w:t>
            </w:r>
          </w:p>
        </w:tc>
        <w:tc>
          <w:tcPr>
            <w:tcW w:type="dxa" w:w="5112"/>
            <w:vAlign w:val="center"/>
          </w:tcPr>
          <w:p>
            <w:r>
              <w:t>Disable governed trade action; preserve read-only context</w:t>
            </w:r>
          </w:p>
        </w:tc>
      </w:tr>
      <w:tr>
        <w:tc>
          <w:tcPr>
            <w:tcW w:type="dxa" w:w="5112"/>
            <w:vAlign w:val="center"/>
          </w:tcPr>
          <w:p>
            <w:r>
              <w:t>LLM unavailable</w:t>
            </w:r>
          </w:p>
        </w:tc>
        <w:tc>
          <w:tcPr>
            <w:tcW w:type="dxa" w:w="5112"/>
            <w:vAlign w:val="center"/>
          </w:tcPr>
          <w:p>
            <w:r>
              <w:t>Show failure/fallback identity honestly; no silent masquerading</w:t>
            </w:r>
          </w:p>
        </w:tc>
      </w:tr>
      <w:tr>
        <w:tc>
          <w:tcPr>
            <w:tcW w:type="dxa" w:w="5112"/>
            <w:vAlign w:val="center"/>
          </w:tcPr>
          <w:p>
            <w:r>
              <w:t>Scanner unavailable</w:t>
            </w:r>
          </w:p>
        </w:tc>
        <w:tc>
          <w:tcPr>
            <w:tcW w:type="dxa" w:w="5112"/>
            <w:vAlign w:val="center"/>
          </w:tcPr>
          <w:p>
            <w:r>
              <w:t>Existing watchlists/workflows remain usable</w:t>
            </w:r>
          </w:p>
        </w:tc>
      </w:tr>
      <w:tr>
        <w:tc>
          <w:tcPr>
            <w:tcW w:type="dxa" w:w="5112"/>
            <w:vAlign w:val="center"/>
          </w:tcPr>
          <w:p>
            <w:r>
              <w:t>Broker unavailable</w:t>
            </w:r>
          </w:p>
        </w:tc>
        <w:tc>
          <w:tcPr>
            <w:tcW w:type="dxa" w:w="5112"/>
            <w:vAlign w:val="center"/>
          </w:tcPr>
          <w:p>
            <w:r>
              <w:t>TM/broker state marked unavailable; no fake execution success</w:t>
            </w:r>
          </w:p>
        </w:tc>
      </w:tr>
      <w:tr>
        <w:tc>
          <w:tcPr>
            <w:tcW w:type="dxa" w:w="5112"/>
            <w:vAlign w:val="center"/>
          </w:tcPr>
          <w:p>
            <w:r>
              <w:t>DB unavailable</w:t>
            </w:r>
          </w:p>
        </w:tc>
        <w:tc>
          <w:tcPr>
            <w:tcW w:type="dxa" w:w="5112"/>
            <w:vAlign w:val="center"/>
          </w:tcPr>
          <w:p>
            <w:r>
              <w:t>Fail closed for writes; preserve clear UX error state</w:t>
            </w:r>
          </w:p>
        </w:tc>
      </w:tr>
    </w:tbl>
    <w:p>
      <w:pPr>
        <w:pStyle w:val="Heading1"/>
      </w:pPr>
      <w:r>
        <w:t>11. Observability</w:t>
      </w:r>
    </w:p>
    <w:p>
      <w:pPr>
        <w:pStyle w:val="ListBullet"/>
      </w:pPr>
      <w:r>
        <w:t>Correlation ID across browser → TWF → satellite calls.</w:t>
      </w:r>
    </w:p>
    <w:p>
      <w:pPr>
        <w:pStyle w:val="ListBullet"/>
      </w:pPr>
      <w:r>
        <w:t>Workflow ID across trader journey.</w:t>
      </w:r>
    </w:p>
    <w:p>
      <w:pPr>
        <w:pStyle w:val="ListBullet"/>
      </w:pPr>
      <w:r>
        <w:t>Service latency and error metrics.</w:t>
      </w:r>
    </w:p>
    <w:p>
      <w:pPr>
        <w:pStyle w:val="ListBullet"/>
      </w:pPr>
      <w:r>
        <w:t>Structured audit logs for authority-sensitive transitions.</w:t>
      </w:r>
    </w:p>
    <w:p>
      <w:pPr>
        <w:pStyle w:val="ListBullet"/>
      </w:pPr>
      <w:r>
        <w:t>Realtime connection state metrics.</w:t>
      </w:r>
    </w:p>
    <w:p>
      <w:pPr>
        <w:pStyle w:val="ListBullet"/>
      </w:pPr>
      <w:r>
        <w:t>Model/service identity captured in relevant traces without secrets.</w:t>
      </w:r>
    </w:p>
    <w:p>
      <w:pPr>
        <w:pStyle w:val="Heading1"/>
      </w:pPr>
      <w:r>
        <w:t>12. Backup / Recovery</w:t>
      </w:r>
    </w:p>
    <w:p>
      <w:pPr>
        <w:pStyle w:val="ListBullet"/>
      </w:pPr>
      <w:r>
        <w:t>Database migration/version recorded.</w:t>
      </w:r>
    </w:p>
    <w:p>
      <w:pPr>
        <w:pStyle w:val="ListBullet"/>
      </w:pPr>
      <w:r>
        <w:t>Production PostgreSQL backups and point-in-time recovery.</w:t>
      </w:r>
    </w:p>
    <w:p>
      <w:pPr>
        <w:pStyle w:val="ListBullet"/>
      </w:pPr>
      <w:r>
        <w:t>User/workflow data recovery tested.</w:t>
      </w:r>
    </w:p>
    <w:p>
      <w:pPr>
        <w:pStyle w:val="ListBullet"/>
      </w:pPr>
      <w:r>
        <w:t>TWF does not pretend it can reconstruct authoritative broker history if broker/TM records are unavailable.</w:t>
      </w:r>
    </w:p>
    <w:p>
      <w:pPr>
        <w:pStyle w:val="Heading1"/>
      </w:pPr>
      <w:r>
        <w:t>13. Scaling Path</w:t>
      </w:r>
    </w:p>
    <w:p>
      <w:pPr>
        <w:ind w:left="360" w:right="360"/>
        <w:shd w:fill="F3F4F6"/>
      </w:pPr>
      <w:r>
        <w:rPr>
          <w:rFonts w:ascii="Consolas" w:hAnsi="Consolas"/>
          <w:color w:val="374151"/>
          <w:sz w:val="18"/>
        </w:rPr>
        <w:t>Single instance → multiple TWF app instances → shared PostgreSQL → optional Redis/worker → targeted service scaling</w:t>
      </w:r>
    </w:p>
    <w:p>
      <w:r>
        <w:t>Scale only the components that show real pressure. Avoid premature distributed complexity.</w:t>
      </w:r>
    </w:p>
    <w:p>
      <w:pPr>
        <w:pStyle w:val="Heading1"/>
      </w:pPr>
      <w:r>
        <w:t>14. Deployment Decisions Still Open</w:t>
      </w:r>
    </w:p>
    <w:p>
      <w:pPr>
        <w:pStyle w:val="ListBullet"/>
      </w:pPr>
      <w:r>
        <w:t>Initial cloud provider</w:t>
      </w:r>
    </w:p>
    <w:p>
      <w:pPr>
        <w:pStyle w:val="ListBullet"/>
      </w:pPr>
      <w:r>
        <w:t>Hosting model for Next.js</w:t>
      </w:r>
    </w:p>
    <w:p>
      <w:pPr>
        <w:pStyle w:val="ListBullet"/>
      </w:pPr>
      <w:r>
        <w:t>Container runtime</w:t>
      </w:r>
    </w:p>
    <w:p>
      <w:pPr>
        <w:pStyle w:val="ListBullet"/>
      </w:pPr>
      <w:r>
        <w:t>Managed PostgreSQL provider</w:t>
      </w:r>
    </w:p>
    <w:p>
      <w:pPr>
        <w:pStyle w:val="ListBullet"/>
      </w:pPr>
      <w:r>
        <w:t>Secret manager</w:t>
      </w:r>
    </w:p>
    <w:p>
      <w:pPr>
        <w:pStyle w:val="ListBullet"/>
      </w:pPr>
      <w:r>
        <w:t>Central observability tooling</w:t>
      </w:r>
    </w:p>
    <w:p>
      <w:pPr>
        <w:pStyle w:val="ListBullet"/>
      </w:pPr>
      <w:r>
        <w:t>Worker/queue selection</w:t>
      </w:r>
    </w:p>
    <w:p>
      <w:pPr>
        <w:pStyle w:val="ListBullet"/>
      </w:pPr>
      <w:r>
        <w:t>Subscription/billing provider</w:t>
      </w:r>
    </w:p>
    <w:p>
      <w:pPr>
        <w:pStyle w:val="ListBullet"/>
      </w:pPr>
      <w:r>
        <w:t>Service authentication mechanism</w:t>
      </w:r>
    </w:p>
    <w:p>
      <w:pPr>
        <w:pStyle w:val="Heading1"/>
      </w:pPr>
      <w:r>
        <w:t>15. Deployment Acceptance Gate Before Production</w:t>
      </w:r>
    </w:p>
    <w:p>
      <w:pPr>
        <w:pStyle w:val="ListBullet"/>
      </w:pPr>
      <w:r>
        <w:t>PostgreSQL compatibility verified</w:t>
      </w:r>
    </w:p>
    <w:p>
      <w:pPr>
        <w:pStyle w:val="ListBullet"/>
      </w:pPr>
      <w:r>
        <w:t>TLS/auth configured</w:t>
      </w:r>
    </w:p>
    <w:p>
      <w:pPr>
        <w:pStyle w:val="ListBullet"/>
      </w:pPr>
      <w:r>
        <w:t>Secrets externalized</w:t>
      </w:r>
    </w:p>
    <w:p>
      <w:pPr>
        <w:pStyle w:val="ListBullet"/>
      </w:pPr>
      <w:r>
        <w:t>Backups/recovery verified</w:t>
      </w:r>
    </w:p>
    <w:p>
      <w:pPr>
        <w:pStyle w:val="ListBullet"/>
      </w:pPr>
      <w:r>
        <w:t>Service timeouts/degradation tested</w:t>
      </w:r>
    </w:p>
    <w:p>
      <w:pPr>
        <w:pStyle w:val="ListBullet"/>
      </w:pPr>
      <w:r>
        <w:t>Audit logging enabled</w:t>
      </w:r>
    </w:p>
    <w:p>
      <w:pPr>
        <w:pStyle w:val="ListBullet"/>
      </w:pPr>
      <w:r>
        <w:t>Observability dashboards defined</w:t>
      </w:r>
    </w:p>
    <w:p>
      <w:pPr>
        <w:pStyle w:val="ListBullet"/>
      </w:pPr>
      <w:r>
        <w:t>Load/performance thresholds met</w:t>
      </w:r>
    </w:p>
    <w:p>
      <w:pPr>
        <w:pStyle w:val="ListBullet"/>
      </w:pPr>
      <w:r>
        <w:t>Security review passed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4546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