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TradingWorkFlow (TWF)</w:t>
      </w:r>
    </w:p>
    <w:p>
      <w:pPr>
        <w:jc w:val="center"/>
      </w:pPr>
      <w:r>
        <w:rPr>
          <w:i/>
          <w:color w:val="595959"/>
          <w:sz w:val="22"/>
        </w:rPr>
        <w:t>Master Product Architecture</w:t>
      </w:r>
    </w:p>
    <w:p>
      <w:pPr>
        <w:jc w:val="center"/>
      </w:pPr>
      <w:r>
        <w:t>Status: Initial architecture-stage document — review before implementation freeze.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is the master architectural view of TradingWorkFlow (TWF). It explains the major product components, their responsibilities, the end-to-end trader workflow, and the design rules that must hold as the system evolves.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32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Product Positioning</w:t>
      </w:r>
    </w:p>
    <w:p>
      <w:r>
        <w:t>TWF is a separate trader-facing product that composes specialist trading capabilities into one coherent web workflow. It is not merely a UI over TI/TM and it does not absorb their internal ownership responsibilities.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Primary responsibility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Authority boundary</w:t>
            </w:r>
          </w:p>
        </w:tc>
      </w:tr>
      <w:tr>
        <w:tc>
          <w:tcPr>
            <w:tcW w:type="dxa" w:w="3408"/>
            <w:vAlign w:val="center"/>
          </w:tcPr>
          <w:p>
            <w:r>
              <w:t>TWF</w:t>
            </w:r>
          </w:p>
        </w:tc>
        <w:tc>
          <w:tcPr>
            <w:tcW w:type="dxa" w:w="3408"/>
            <w:vAlign w:val="center"/>
          </w:tcPr>
          <w:p>
            <w:r>
              <w:t>Trader workflow, orchestration, presentation, configuration, correlation</w:t>
            </w:r>
          </w:p>
        </w:tc>
        <w:tc>
          <w:tcPr>
            <w:tcW w:type="dxa" w:w="3408"/>
            <w:vAlign w:val="center"/>
          </w:tcPr>
          <w:p>
            <w:r>
              <w:t>No independent trading authority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Scanner</w:t>
            </w:r>
          </w:p>
        </w:tc>
        <w:tc>
          <w:tcPr>
            <w:tcW w:type="dxa" w:w="3408"/>
            <w:vAlign w:val="center"/>
          </w:tcPr>
          <w:p>
            <w:r>
              <w:t>Discovery and candidate proposal</w:t>
            </w:r>
          </w:p>
        </w:tc>
        <w:tc>
          <w:tcPr>
            <w:tcW w:type="dxa" w:w="3408"/>
            <w:vAlign w:val="center"/>
          </w:tcPr>
          <w:p>
            <w:r>
              <w:t>No execution authority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TI</w:t>
            </w:r>
          </w:p>
        </w:tc>
        <w:tc>
          <w:tcPr>
            <w:tcW w:type="dxa" w:w="3408"/>
            <w:vAlign w:val="center"/>
          </w:tcPr>
          <w:p>
            <w:r>
              <w:t>Assessment, explanation, claims, forecasts, advisory trade expression</w:t>
            </w:r>
          </w:p>
        </w:tc>
        <w:tc>
          <w:tcPr>
            <w:tcW w:type="dxa" w:w="3408"/>
            <w:vAlign w:val="center"/>
          </w:tcPr>
          <w:p>
            <w:r>
              <w:t>Advisory only</w:t>
            </w:r>
          </w:p>
        </w:tc>
      </w:tr>
      <w:tr>
        <w:tc>
          <w:tcPr>
            <w:tcW w:type="dxa" w:w="3408"/>
            <w:vAlign w:val="center"/>
          </w:tcPr>
          <w:p>
            <w:r>
              <w:t>LLM Service</w:t>
            </w:r>
          </w:p>
        </w:tc>
        <w:tc>
          <w:tcPr>
            <w:tcW w:type="dxa" w:w="3408"/>
            <w:vAlign w:val="center"/>
          </w:tcPr>
          <w:p>
            <w:r>
              <w:t>Reasoning, synthesis, interpretation</w:t>
            </w:r>
          </w:p>
        </w:tc>
        <w:tc>
          <w:tcPr>
            <w:tcW w:type="dxa" w:w="3408"/>
            <w:vAlign w:val="center"/>
          </w:tcPr>
          <w:p>
            <w:r>
              <w:t>No historical-truth or execution authority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TM</w:t>
            </w:r>
          </w:p>
        </w:tc>
        <w:tc>
          <w:tcPr>
            <w:tcW w:type="dxa" w:w="3408"/>
            <w:vAlign w:val="center"/>
          </w:tcPr>
          <w:p>
            <w:r>
              <w:t>Risk, authority, ownership/adoption, execution supervision, position governance</w:t>
            </w:r>
          </w:p>
        </w:tc>
        <w:tc>
          <w:tcPr>
            <w:tcW w:type="dxa" w:w="3408"/>
            <w:vAlign w:val="center"/>
          </w:tcPr>
          <w:p>
            <w:r>
              <w:t>Authoritative governance layer</w:t>
            </w:r>
          </w:p>
        </w:tc>
      </w:tr>
      <w:tr>
        <w:tc>
          <w:tcPr>
            <w:tcW w:type="dxa" w:w="3408"/>
            <w:vAlign w:val="center"/>
          </w:tcPr>
          <w:p>
            <w:r>
              <w:t>Broker</w:t>
            </w:r>
          </w:p>
        </w:tc>
        <w:tc>
          <w:tcPr>
            <w:tcW w:type="dxa" w:w="3408"/>
            <w:vAlign w:val="center"/>
          </w:tcPr>
          <w:p>
            <w:r>
              <w:t>Orders/fills/positions</w:t>
            </w:r>
          </w:p>
        </w:tc>
        <w:tc>
          <w:tcPr>
            <w:tcW w:type="dxa" w:w="3408"/>
            <w:vAlign w:val="center"/>
          </w:tcPr>
          <w:p>
            <w:r>
              <w:t>Execution truth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Future IFL</w:t>
            </w:r>
          </w:p>
        </w:tc>
        <w:tc>
          <w:tcPr>
            <w:tcW w:type="dxa" w:w="3408"/>
            <w:vAlign w:val="center"/>
          </w:tcPr>
          <w:p>
            <w:r>
              <w:t>Claim/outcome/performance feedback and learning coordination</w:t>
            </w:r>
          </w:p>
        </w:tc>
        <w:tc>
          <w:tcPr>
            <w:tcW w:type="dxa" w:w="3408"/>
            <w:vAlign w:val="center"/>
          </w:tcPr>
          <w:p>
            <w:r>
              <w:t>No silent model mutation</w:t>
            </w:r>
          </w:p>
        </w:tc>
      </w:tr>
    </w:tbl>
    <w:p>
      <w:pPr>
        <w:pStyle w:val="Heading1"/>
      </w:pPr>
      <w:r>
        <w:t>3. Major Product Components</w:t>
      </w:r>
    </w:p>
    <w:p>
      <w:pPr>
        <w:pStyle w:val="ListBullet"/>
      </w:pPr>
      <w:r>
        <w:t>Authentication and user/account boundary</w:t>
      </w:r>
    </w:p>
    <w:p>
      <w:pPr>
        <w:pStyle w:val="ListBullet"/>
      </w:pPr>
      <w:r>
        <w:t>Workspace and trader session</w:t>
      </w:r>
    </w:p>
    <w:p>
      <w:pPr>
        <w:pStyle w:val="ListBullet"/>
      </w:pPr>
      <w:r>
        <w:t>Watchlists and candidate context</w:t>
      </w:r>
    </w:p>
    <w:p>
      <w:pPr>
        <w:pStyle w:val="ListBullet"/>
      </w:pPr>
      <w:r>
        <w:t>Scanner integration</w:t>
      </w:r>
    </w:p>
    <w:p>
      <w:pPr>
        <w:pStyle w:val="ListBullet"/>
      </w:pPr>
      <w:r>
        <w:t>TradingIntelligence integration</w:t>
      </w:r>
    </w:p>
    <w:p>
      <w:pPr>
        <w:pStyle w:val="ListBullet"/>
      </w:pPr>
      <w:r>
        <w:t>TradeMonitor integration</w:t>
      </w:r>
    </w:p>
    <w:p>
      <w:pPr>
        <w:pStyle w:val="ListBullet"/>
      </w:pPr>
      <w:r>
        <w:t>Active primary LLM / Intelligence Service</w:t>
      </w:r>
    </w:p>
    <w:p>
      <w:pPr>
        <w:pStyle w:val="ListBullet"/>
      </w:pPr>
      <w:r>
        <w:t>Candidate / trade workflow orchestration</w:t>
      </w:r>
    </w:p>
    <w:p>
      <w:pPr>
        <w:pStyle w:val="ListBullet"/>
      </w:pPr>
      <w:r>
        <w:t>Orders / positions / monitoring views</w:t>
      </w:r>
    </w:p>
    <w:p>
      <w:pPr>
        <w:pStyle w:val="ListBullet"/>
      </w:pPr>
      <w:r>
        <w:t>User settings and pluggable service configuration</w:t>
      </w:r>
    </w:p>
    <w:p>
      <w:pPr>
        <w:pStyle w:val="ListBullet"/>
      </w:pPr>
      <w:r>
        <w:t>Reusable web consoles</w:t>
      </w:r>
    </w:p>
    <w:p>
      <w:pPr>
        <w:pStyle w:val="ListBullet"/>
      </w:pPr>
      <w:r>
        <w:t>Notifications and alerts</w:t>
      </w:r>
    </w:p>
    <w:p>
      <w:pPr>
        <w:pStyle w:val="ListBullet"/>
      </w:pPr>
      <w:r>
        <w:t>Audit/history and future IFL visibility</w:t>
      </w:r>
    </w:p>
    <w:p>
      <w:pPr>
        <w:pStyle w:val="Heading1"/>
      </w:pPr>
      <w:r>
        <w:t>4. Minimal Complete Product</w:t>
      </w:r>
    </w:p>
    <w:p>
      <w:pPr>
        <w:ind w:left="360" w:right="360"/>
        <w:shd w:fill="F3F4F6"/>
      </w:pPr>
      <w:r>
        <w:rPr>
          <w:rFonts w:ascii="Consolas" w:hAnsi="Consolas"/>
          <w:color w:val="374151"/>
          <w:sz w:val="18"/>
        </w:rPr>
        <w:t>Login → Workspace → Watchlist/Scanner → Candidate → TI/LLM Analysis → Trader Review → TM Risk/Authority → Manual Approval → Execution/Adoption → Monitoring → History</w:t>
      </w:r>
    </w:p>
    <w:p>
      <w:r>
        <w:t>The first miniature must be complete end to end even if some service integrations initially use synthetic/local adapters. Completeness of workflow is more important than breadth of advanced features.</w:t>
      </w:r>
    </w:p>
    <w:p>
      <w:pPr>
        <w:pStyle w:val="Heading1"/>
      </w:pPr>
      <w:r>
        <w:t>5. Architectural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Contains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Must not own</w:t>
            </w:r>
          </w:p>
        </w:tc>
      </w:tr>
      <w:tr>
        <w:tc>
          <w:tcPr>
            <w:tcW w:type="dxa" w:w="3408"/>
            <w:vAlign w:val="center"/>
          </w:tcPr>
          <w:p>
            <w:r>
              <w:t>Experience</w:t>
            </w:r>
          </w:p>
        </w:tc>
        <w:tc>
          <w:tcPr>
            <w:tcW w:type="dxa" w:w="3408"/>
            <w:vAlign w:val="center"/>
          </w:tcPr>
          <w:p>
            <w:r>
              <w:t>Web shell, panels, navigation, consoles, settings UI</w:t>
            </w:r>
          </w:p>
        </w:tc>
        <w:tc>
          <w:tcPr>
            <w:tcW w:type="dxa" w:w="3408"/>
            <w:vAlign w:val="center"/>
          </w:tcPr>
          <w:p>
            <w:r>
              <w:t>TI/TM business authority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Application/Workflow</w:t>
            </w:r>
          </w:p>
        </w:tc>
        <w:tc>
          <w:tcPr>
            <w:tcW w:type="dxa" w:w="3408"/>
            <w:vAlign w:val="center"/>
          </w:tcPr>
          <w:p>
            <w:r>
              <w:t>Workflow state, correlation, orchestration, user actions</w:t>
            </w:r>
          </w:p>
        </w:tc>
        <w:tc>
          <w:tcPr>
            <w:tcW w:type="dxa" w:w="3408"/>
            <w:vAlign w:val="center"/>
          </w:tcPr>
          <w:p>
            <w:r>
              <w:t>Broker truth or model internals</w:t>
            </w:r>
          </w:p>
        </w:tc>
      </w:tr>
      <w:tr>
        <w:tc>
          <w:tcPr>
            <w:tcW w:type="dxa" w:w="3408"/>
            <w:vAlign w:val="center"/>
          </w:tcPr>
          <w:p>
            <w:r>
              <w:t>Domain</w:t>
            </w:r>
          </w:p>
        </w:tc>
        <w:tc>
          <w:tcPr>
            <w:tcW w:type="dxa" w:w="3408"/>
            <w:vAlign w:val="center"/>
          </w:tcPr>
          <w:p>
            <w:r>
              <w:t>User/workspace/candidate/workflow semantics</w:t>
            </w:r>
          </w:p>
        </w:tc>
        <w:tc>
          <w:tcPr>
            <w:tcW w:type="dxa" w:w="3408"/>
            <w:vAlign w:val="center"/>
          </w:tcPr>
          <w:p>
            <w:r>
              <w:t>Transport or DB-specific behavior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Integration</w:t>
            </w:r>
          </w:p>
        </w:tc>
        <w:tc>
          <w:tcPr>
            <w:tcW w:type="dxa" w:w="3408"/>
            <w:vAlign w:val="center"/>
          </w:tcPr>
          <w:p>
            <w:r>
              <w:t>Scanner/TI/TM/LLM/Broker adapters</w:t>
            </w:r>
          </w:p>
        </w:tc>
        <w:tc>
          <w:tcPr>
            <w:tcW w:type="dxa" w:w="3408"/>
            <w:vAlign w:val="center"/>
          </w:tcPr>
          <w:p>
            <w:r>
              <w:t>Independent business decisions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Persistence</w:t>
            </w:r>
          </w:p>
        </w:tc>
        <w:tc>
          <w:tcPr>
            <w:tcW w:type="dxa" w:w="3408"/>
            <w:vAlign w:val="center"/>
          </w:tcPr>
          <w:p>
            <w:r>
              <w:t>Repositories, migrations, audit persistence</w:t>
            </w:r>
          </w:p>
        </w:tc>
        <w:tc>
          <w:tcPr>
            <w:tcW w:type="dxa" w:w="3408"/>
            <w:vAlign w:val="center"/>
          </w:tcPr>
          <w:p>
            <w:r>
              <w:t>Domain policy</w:t>
            </w:r>
          </w:p>
        </w:tc>
      </w:tr>
      <w:tr>
        <w:tc>
          <w:tcPr>
            <w:tcW w:type="dxa" w:w="3408"/>
            <w:vAlign w:val="center"/>
          </w:tcPr>
          <w:p>
            <w:r>
              <w:t>Platform</w:t>
            </w:r>
          </w:p>
        </w:tc>
        <w:tc>
          <w:tcPr>
            <w:tcW w:type="dxa" w:w="3408"/>
            <w:vAlign w:val="center"/>
          </w:tcPr>
          <w:p>
            <w:r>
              <w:t>Realtime, auth plumbing, config, observability</w:t>
            </w:r>
          </w:p>
        </w:tc>
        <w:tc>
          <w:tcPr>
            <w:tcW w:type="dxa" w:w="3408"/>
            <w:vAlign w:val="center"/>
          </w:tcPr>
          <w:p>
            <w:r>
              <w:t>Trading logic</w:t>
            </w:r>
          </w:p>
        </w:tc>
      </w:tr>
    </w:tbl>
    <w:p>
      <w:pPr>
        <w:pStyle w:val="Heading1"/>
      </w:pPr>
      <w:r>
        <w:t>6. Core End-to-End Workflow</w:t>
      </w:r>
    </w:p>
    <w:p>
      <w:pPr>
        <w:pStyle w:val="ListBullet"/>
      </w:pPr>
      <w:r>
        <w:t>Candidate is discovered or manually selected.</w:t>
      </w:r>
    </w:p>
    <w:p>
      <w:pPr>
        <w:pStyle w:val="ListBullet"/>
      </w:pPr>
      <w:r>
        <w:t>TWF opens/creates a workflow context.</w:t>
      </w:r>
    </w:p>
    <w:p>
      <w:pPr>
        <w:pStyle w:val="ListBullet"/>
      </w:pPr>
      <w:r>
        <w:t>TI and the active LLM produce structured intelligence and explanation.</w:t>
      </w:r>
    </w:p>
    <w:p>
      <w:pPr>
        <w:pStyle w:val="ListBullet"/>
      </w:pPr>
      <w:r>
        <w:t>Trader reviews intelligence and any advisory trade expression.</w:t>
      </w:r>
    </w:p>
    <w:p>
      <w:pPr>
        <w:pStyle w:val="ListBullet"/>
      </w:pPr>
      <w:r>
        <w:t>TWF hands the candidate to TM through a stable integration contract.</w:t>
      </w:r>
    </w:p>
    <w:p>
      <w:pPr>
        <w:pStyle w:val="ListBullet"/>
      </w:pPr>
      <w:r>
        <w:t>TM evaluates broker truth, risk and authority.</w:t>
      </w:r>
    </w:p>
    <w:p>
      <w:pPr>
        <w:pStyle w:val="ListBullet"/>
      </w:pPr>
      <w:r>
        <w:t>Trader manually approves in the initial miniature.</w:t>
      </w:r>
    </w:p>
    <w:p>
      <w:pPr>
        <w:pStyle w:val="ListBullet"/>
      </w:pPr>
      <w:r>
        <w:t>TM coordinates execution/adoption and monitors the resulting position.</w:t>
      </w:r>
    </w:p>
    <w:p>
      <w:pPr>
        <w:pStyle w:val="ListBullet"/>
      </w:pPr>
      <w:r>
        <w:t>TWF presents ongoing state and preserves workflow/audit lineage.</w:t>
      </w:r>
    </w:p>
    <w:p>
      <w:pPr>
        <w:pStyle w:val="ListBullet"/>
      </w:pPr>
      <w:r>
        <w:t>Future IFL can later connect the original claims with outcomes and performance.</w:t>
      </w:r>
    </w:p>
    <w:p>
      <w:pPr>
        <w:pStyle w:val="Heading1"/>
      </w:pPr>
      <w:r>
        <w:t>7. Data Ownership and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Authoritative owner</w:t>
            </w:r>
          </w:p>
        </w:tc>
      </w:tr>
      <w:tr>
        <w:tc>
          <w:tcPr>
            <w:tcW w:type="dxa" w:w="5112"/>
            <w:vAlign w:val="center"/>
          </w:tcPr>
          <w:p>
            <w:r>
              <w:t>TWF user/workspace/preferences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Scanner candidate evidence</w:t>
            </w:r>
          </w:p>
        </w:tc>
        <w:tc>
          <w:tcPr>
            <w:tcW w:type="dxa" w:w="5112"/>
            <w:vAlign w:val="center"/>
          </w:tcPr>
          <w:p>
            <w:r>
              <w:t>Scanner / captured TWF reference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TI claims/provenance</w:t>
            </w:r>
          </w:p>
        </w:tc>
        <w:tc>
          <w:tcPr>
            <w:tcW w:type="dxa" w:w="5112"/>
            <w:vAlign w:val="center"/>
          </w:tcPr>
          <w:p>
            <w:r>
              <w:t>TI / referenced by 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TM risk/authority/position ownership</w:t>
            </w:r>
          </w:p>
        </w:tc>
        <w:tc>
          <w:tcPr>
            <w:tcW w:type="dxa" w:w="5112"/>
            <w:vAlign w:val="center"/>
          </w:tcPr>
          <w:p>
            <w:r>
              <w:t>TM</w:t>
            </w:r>
          </w:p>
        </w:tc>
      </w:tr>
      <w:tr>
        <w:tc>
          <w:tcPr>
            <w:tcW w:type="dxa" w:w="5112"/>
            <w:vAlign w:val="center"/>
          </w:tcPr>
          <w:p>
            <w:r>
              <w:t>Broker order/fill/position truth</w:t>
            </w:r>
          </w:p>
        </w:tc>
        <w:tc>
          <w:tcPr>
            <w:tcW w:type="dxa" w:w="5112"/>
            <w:vAlign w:val="center"/>
          </w:tcPr>
          <w:p>
            <w:r>
              <w:t>Broker / reconciled through TM</w:t>
            </w:r>
          </w:p>
        </w:tc>
      </w:tr>
      <w:tr>
        <w:tc>
          <w:tcPr>
            <w:tcW w:type="dxa" w:w="5112"/>
            <w:vAlign w:val="center"/>
          </w:tcPr>
          <w:p>
            <w:r>
              <w:t>TWF workflow/audit lineage</w:t>
            </w:r>
          </w:p>
        </w:tc>
        <w:tc>
          <w:tcPr>
            <w:tcW w:type="dxa" w:w="5112"/>
            <w:vAlign w:val="center"/>
          </w:tcPr>
          <w:p>
            <w:r>
              <w:t>TWF</w:t>
            </w:r>
          </w:p>
        </w:tc>
      </w:tr>
      <w:tr>
        <w:tc>
          <w:tcPr>
            <w:tcW w:type="dxa" w:w="5112"/>
            <w:vAlign w:val="center"/>
          </w:tcPr>
          <w:p>
            <w:r>
              <w:t>Future claim outcome/performance memory</w:t>
            </w:r>
          </w:p>
        </w:tc>
        <w:tc>
          <w:tcPr>
            <w:tcW w:type="dxa" w:w="5112"/>
            <w:vAlign w:val="center"/>
          </w:tcPr>
          <w:p>
            <w:r>
              <w:t>IFL / Evaluation layer</w:t>
            </w:r>
          </w:p>
        </w:tc>
      </w:tr>
    </w:tbl>
    <w:p>
      <w:pPr>
        <w:pStyle w:val="Heading1"/>
      </w:pPr>
      <w:r>
        <w:t>8. Key Architectural Invariants</w:t>
      </w:r>
    </w:p>
    <w:p>
      <w:pPr>
        <w:pStyle w:val="ListBullet"/>
      </w:pPr>
      <w:r>
        <w:t>TWF is a separate product/repository.</w:t>
      </w:r>
    </w:p>
    <w:p>
      <w:pPr>
        <w:pStyle w:val="ListBullet"/>
      </w:pPr>
      <w:r>
        <w:t>TWF is web-first and cloud/multi-user ready.</w:t>
      </w:r>
    </w:p>
    <w:p>
      <w:pPr>
        <w:pStyle w:val="ListBullet"/>
      </w:pPr>
      <w:r>
        <w:t>Logical service contracts are independent of deployment location.</w:t>
      </w:r>
    </w:p>
    <w:p>
      <w:pPr>
        <w:pStyle w:val="ListBullet"/>
      </w:pPr>
      <w:r>
        <w:t>One active primary top-tier LLM is normal runtime configuration, but provider identity remains replaceable.</w:t>
      </w:r>
    </w:p>
    <w:p>
      <w:pPr>
        <w:pStyle w:val="ListBullet"/>
      </w:pPr>
      <w:r>
        <w:t>TI advises; TM governs; broker remains execution truth.</w:t>
      </w:r>
    </w:p>
    <w:p>
      <w:pPr>
        <w:pStyle w:val="ListBullet"/>
      </w:pPr>
      <w:r>
        <w:t>Application/domain logic is database-neutral.</w:t>
      </w:r>
    </w:p>
    <w:p>
      <w:pPr>
        <w:pStyle w:val="ListBullet"/>
      </w:pPr>
      <w:r>
        <w:t>SQLite is a development deployment choice, not a domain assumption.</w:t>
      </w:r>
    </w:p>
    <w:p>
      <w:pPr>
        <w:pStyle w:val="ListBullet"/>
      </w:pPr>
      <w:r>
        <w:t>Historical/provenance identities survive service/model replacement.</w:t>
      </w:r>
    </w:p>
    <w:p>
      <w:pPr>
        <w:pStyle w:val="ListBullet"/>
      </w:pPr>
      <w:r>
        <w:t>User preferences cannot silently change trading authority.</w:t>
      </w:r>
    </w:p>
    <w:p>
      <w:pPr>
        <w:pStyle w:val="ListBullet"/>
      </w:pPr>
      <w:r>
        <w:t>The first implementation is miniature but complete end to end.</w:t>
      </w:r>
    </w:p>
    <w:p>
      <w:pPr>
        <w:pStyle w:val="ListBullet"/>
      </w:pPr>
      <w:r>
        <w:t>Degraded service states are explicit in UX.</w:t>
      </w:r>
    </w:p>
    <w:p>
      <w:pPr>
        <w:pStyle w:val="ListBullet"/>
      </w:pPr>
      <w:r>
        <w:t>Architecture grows through bounded milestones and acceptance gates.</w:t>
      </w:r>
    </w:p>
    <w:p>
      <w:pPr>
        <w:pStyle w:val="Heading1"/>
      </w:pPr>
      <w:r>
        <w:t>9. Pre-Coding Architecture Gate</w:t>
      </w:r>
    </w:p>
    <w:p>
      <w:r>
        <w:t>Coding should begin only after the following are accepted:</w:t>
      </w:r>
    </w:p>
    <w:p>
      <w:pPr>
        <w:pStyle w:val="ListBullet"/>
      </w:pPr>
      <w:r>
        <w:t>Master Product Architecture</w:t>
      </w:r>
    </w:p>
    <w:p>
      <w:pPr>
        <w:pStyle w:val="ListBullet"/>
      </w:pPr>
      <w:r>
        <w:t>Component Architecture</w:t>
      </w:r>
    </w:p>
    <w:p>
      <w:pPr>
        <w:pStyle w:val="ListBullet"/>
      </w:pPr>
      <w:r>
        <w:t>Deployment Architecture</w:t>
      </w:r>
    </w:p>
    <w:p>
      <w:pPr>
        <w:pStyle w:val="ListBullet"/>
      </w:pPr>
      <w:r>
        <w:t>UX Architecture</w:t>
      </w:r>
    </w:p>
    <w:p>
      <w:pPr>
        <w:pStyle w:val="ListBullet"/>
      </w:pPr>
      <w:r>
        <w:t>Service Contract Architecture</w:t>
      </w:r>
    </w:p>
    <w:p>
      <w:pPr>
        <w:pStyle w:val="ListBullet"/>
      </w:pPr>
      <w:r>
        <w:t>Data Architecture</w:t>
      </w:r>
    </w:p>
    <w:p>
      <w:pPr>
        <w:pStyle w:val="ListBullet"/>
      </w:pPr>
      <w:r>
        <w:t>Security / Authentication Architecture</w:t>
      </w:r>
    </w:p>
    <w:p>
      <w:pPr>
        <w:pStyle w:val="ListBullet"/>
      </w:pPr>
      <w:r>
        <w:t>Technology Decision Record</w:t>
      </w:r>
    </w:p>
    <w:p>
      <w:pPr>
        <w:pStyle w:val="ListBullet"/>
      </w:pPr>
      <w:r>
        <w:t>Detailed Roadmap with milestone/target acceptance criteria</w:t>
      </w:r>
    </w:p>
    <w:p>
      <w:pPr>
        <w:pStyle w:val="Heading1"/>
      </w:pPr>
      <w:r>
        <w:t>10. Explicit Non-Goals for Initial Miniature</w:t>
      </w:r>
    </w:p>
    <w:p>
      <w:pPr>
        <w:pStyle w:val="ListBullet"/>
      </w:pPr>
      <w:r>
        <w:t>Autonomous trading</w:t>
      </w:r>
    </w:p>
    <w:p>
      <w:pPr>
        <w:pStyle w:val="ListBullet"/>
      </w:pPr>
      <w:r>
        <w:t>Full subscription billing</w:t>
      </w:r>
    </w:p>
    <w:p>
      <w:pPr>
        <w:pStyle w:val="ListBullet"/>
      </w:pPr>
      <w:r>
        <w:t>Full IFL self-learning runtime</w:t>
      </w:r>
    </w:p>
    <w:p>
      <w:pPr>
        <w:pStyle w:val="ListBullet"/>
      </w:pPr>
      <w:r>
        <w:t>Every broker/scanner</w:t>
      </w:r>
    </w:p>
    <w:p>
      <w:pPr>
        <w:pStyle w:val="ListBullet"/>
      </w:pPr>
      <w:r>
        <w:t>Kubernetes/service mesh</w:t>
      </w:r>
    </w:p>
    <w:p>
      <w:pPr>
        <w:pStyle w:val="ListBullet"/>
      </w:pPr>
      <w:r>
        <w:t>High-frequency trading</w:t>
      </w:r>
    </w:p>
    <w:p>
      <w:pPr>
        <w:pStyle w:val="ListBullet"/>
      </w:pPr>
      <w:r>
        <w:t>Complex distributed event platform</w:t>
      </w:r>
    </w:p>
    <w:p>
      <w:pPr>
        <w:pStyle w:val="ListBullet"/>
      </w:pPr>
      <w:r>
        <w:t>Advanced mobile trading UX</w:t>
      </w:r>
    </w:p>
    <w:p>
      <w:pPr>
        <w:pStyle w:val="Heading1"/>
      </w:pPr>
      <w:r>
        <w:t>11. Current Architecture Decision</w:t>
      </w:r>
    </w:p>
    <w:p>
      <w:r>
        <w:t>Proceed architecture-first. TWF-0 should close the design gaps above before implementation scaffolding begins.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