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TWF Repository &amp; Engineering Standards</w:t>
      </w:r>
    </w:p>
    <w:p>
      <w:pPr>
        <w:jc w:val="center"/>
      </w:pPr>
      <w:r>
        <w:rPr>
          <w:i/>
          <w:sz w:val="18"/>
        </w:rPr>
        <w:t>Pre-coding repository, quality and milestone discipline</w:t>
      </w:r>
    </w:p>
    <w:p>
      <w:pPr>
        <w:pStyle w:val="Heading1"/>
      </w:pPr>
      <w:r>
        <w:t>Architecture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DejaVu Sans Mono" w:hAnsi="DejaVu Sans Mono"/>
                <w:sz w:val="15"/>
              </w:rPr>
              <w:t>TradingWorkFlow/</w:t>
              <w:br/>
              <w:t>├── apps/web</w:t>
              <w:br/>
              <w:t>├── apps/api</w:t>
              <w:br/>
              <w:t>├── docs</w:t>
              <w:br/>
              <w:t>├── tests</w:t>
              <w:br/>
              <w:t>├── scripts</w:t>
              <w:br/>
              <w:t>├── deploy</w:t>
              <w:br/>
              <w:t>└── shared/contracts (only if justified)</w:t>
            </w:r>
          </w:p>
        </w:tc>
      </w:tr>
    </w:tbl>
    <w:p>
      <w:pPr>
        <w:pStyle w:val="Heading1"/>
      </w:pPr>
      <w:r>
        <w:t>Repository Discipline</w:t>
      </w:r>
    </w:p>
    <w:p>
      <w:r>
        <w:t>TWF remains separate from TI/TM/scanners. Integrations occur through contracts/adapters, not internal source coupling.</w:t>
      </w:r>
    </w:p>
    <w:p>
      <w:pPr>
        <w:pStyle w:val="Heading1"/>
      </w:pPr>
      <w:r>
        <w:t>Backend Quality</w:t>
      </w:r>
    </w:p>
    <w:p>
      <w:r>
        <w:t>Python 3.12+, type hints, Ruff, mypy, pytest, explicit configuration and typed API validation.</w:t>
      </w:r>
    </w:p>
    <w:p>
      <w:pPr>
        <w:pStyle w:val="Heading1"/>
      </w:pPr>
      <w:r>
        <w:t>Frontend Quality</w:t>
      </w:r>
    </w:p>
    <w:p>
      <w:r>
        <w:t>TypeScript strict mode, Next.js/React conventions, ESLint/Prettier, component tests and Playwright E2E.</w:t>
      </w:r>
    </w:p>
    <w:p>
      <w:pPr>
        <w:pStyle w:val="Heading1"/>
      </w:pPr>
      <w:r>
        <w:t>Documentation Discipline</w:t>
      </w:r>
    </w:p>
    <w:p>
      <w:r>
        <w:t>Markdown is normative; DOCX is a visual companion. Accepted historical records are superseded, not rewritten.</w:t>
      </w:r>
    </w:p>
    <w:p>
      <w:pPr>
        <w:pStyle w:val="Heading1"/>
      </w:pPr>
      <w:r>
        <w:t>Milestone Discipline</w:t>
      </w:r>
    </w:p>
    <w:p>
      <w:r>
        <w:t>Each target requires implementation, tests, docs, acceptance criteria and explicit save/freeze decision.</w:t>
      </w:r>
    </w:p>
    <w:p>
      <w:pPr>
        <w:pStyle w:val="Heading1"/>
      </w:pPr>
      <w:r>
        <w:t>README Dashboard</w:t>
      </w:r>
    </w:p>
    <w:p>
      <w:r>
        <w:t>Maintain detailed hierarchy so project depth, status, blockers and next work remain visible.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