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TWF Security &amp; Authentication Architecture</w:t>
      </w:r>
    </w:p>
    <w:p>
      <w:pPr>
        <w:jc w:val="center"/>
      </w:pPr>
      <w:r>
        <w:rPr>
          <w:i/>
          <w:sz w:val="20"/>
        </w:rPr>
        <w:t>TradingWorkFlow (TWF) — Architecture Reference</w:t>
      </w:r>
    </w:p>
    <w:p/>
    <w:p>
      <w:pPr>
        <w:pStyle w:val="Heading1"/>
      </w:pPr>
      <w:r>
        <w:t>Architecture at a Glance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</w:tcPr>
          <w:p>
            <w:r>
              <w:rPr>
                <w:rFonts w:ascii="DejaVu Sans Mono" w:hAnsi="DejaVu Sans Mono"/>
                <w:sz w:val="16"/>
              </w:rPr>
              <w:t>Browser</w:t>
              <w:br/>
              <w:t xml:space="preserve">  ↓ HTTPS</w:t>
              <w:br/>
              <w:t>TWF Web / API</w:t>
              <w:br/>
              <w:t xml:space="preserve">  ↓ authenticated user context</w:t>
              <w:br/>
              <w:t>TWF Application Zone</w:t>
              <w:br/>
              <w:t>├── DB</w:t>
              <w:br/>
              <w:t>├── TI / Scanner / LLM services</w:t>
              <w:br/>
              <w:t>└── TM service</w:t>
              <w:br/>
              <w:t xml:space="preserve">      ↓</w:t>
              <w:br/>
              <w:t xml:space="preserve">    Broker Boundary</w:t>
              <w:br/>
              <w:br/>
              <w:t>Authentication ≠ Trading Authority ≠ Broker Authorization</w:t>
            </w:r>
          </w:p>
        </w:tc>
      </w:tr>
    </w:tbl>
    <w:p>
      <w:pPr>
        <w:pStyle w:val="Heading1"/>
      </w:pPr>
      <w:r>
        <w:t>Purpose</w:t>
      </w:r>
    </w:p>
    <w:p>
      <w:r>
        <w:t>Define the security model for a cloud-hosted, multi-user trading workflow application integrating TI, TM, scanners, LLM providers, brokers, and future subscription services.</w:t>
      </w:r>
    </w:p>
    <w:p>
      <w:pPr>
        <w:pStyle w:val="Heading1"/>
      </w:pPr>
      <w:r>
        <w:t>Security North Star</w:t>
      </w:r>
    </w:p>
    <w:p>
      <w:r>
        <w:t>A user-facing convenience or integration feature must never silently weaken identity, authority, broker security, or auditability.</w:t>
      </w:r>
    </w:p>
    <w:p>
      <w:pPr>
        <w:pStyle w:val="Heading1"/>
      </w:pPr>
      <w:r>
        <w:t>Distinct Trust Concepts</w:t>
      </w:r>
    </w:p>
    <w:p>
      <w:r>
        <w:t>Keep separate: user authentication, application authorization, service authentication, trading authority, broker authorization, and subscription entitlement.</w:t>
      </w:r>
    </w:p>
    <w:p>
      <w:pPr>
        <w:pStyle w:val="Heading1"/>
      </w:pPr>
      <w:r>
        <w:t>Authentication and Sessions</w:t>
      </w:r>
    </w:p>
    <w:p>
      <w:r>
        <w:t>Use secure browser authentication with server-validated sessions/tokens. Prefer HttpOnly cookies where appropriate, secure expiry/revocation, and CSRF protection when required. Final provider remains TBD.</w:t>
      </w:r>
    </w:p>
    <w:p>
      <w:pPr>
        <w:pStyle w:val="Heading1"/>
      </w:pPr>
      <w:r>
        <w:t>Authorization</w:t>
      </w:r>
    </w:p>
    <w:p>
      <w:r>
        <w:t>Every user-owned resource must be authorized server-side. Hiding UI controls is never sufficient authorization.</w:t>
      </w:r>
    </w:p>
    <w:p>
      <w:pPr>
        <w:pStyle w:val="Heading1"/>
      </w:pPr>
      <w:r>
        <w:t>Trading Authority</w:t>
      </w:r>
    </w:p>
    <w:p>
      <w:r>
        <w:t>Trading authority belongs to TM/policy/trader workflow. Being an authenticated TWF user does not imply execution permission.</w:t>
      </w:r>
    </w:p>
    <w:p>
      <w:pPr>
        <w:pStyle w:val="Heading1"/>
      </w:pPr>
      <w:r>
        <w:t>Broker Security</w:t>
      </w:r>
    </w:p>
    <w:p>
      <w:r>
        <w:t>Prefer broker credentials/tokens remaining behind TM/broker boundaries. TWF should not receive raw broker credentials in normal operation.</w:t>
      </w:r>
    </w:p>
    <w:p>
      <w:pPr>
        <w:pStyle w:val="Heading1"/>
      </w:pPr>
      <w:r>
        <w:t>Service and LLM Security</w:t>
      </w:r>
    </w:p>
    <w:p>
      <w:r>
        <w:t>Remote TI/TM/scanner services must authenticate. LLM provider keys are server-side secrets. LLM output is untrusted content and cannot directly execute privileged actions.</w:t>
      </w:r>
    </w:p>
    <w:p>
      <w:pPr>
        <w:pStyle w:val="Heading1"/>
      </w:pPr>
      <w:r>
        <w:t>Console Security</w:t>
      </w:r>
    </w:p>
    <w:p>
      <w:r>
        <w:t>Initial consoles should be read-only. Any future command console must be capability-scoped, authenticated, authorized, audited, and unable to bypass TM authority.</w:t>
      </w:r>
    </w:p>
    <w:p>
      <w:pPr>
        <w:pStyle w:val="Heading1"/>
      </w:pPr>
      <w:r>
        <w:t>Multi-User Isolation</w:t>
      </w:r>
    </w:p>
    <w:p>
      <w:r>
        <w:t>Scope repository queries, caches, realtime channels, and workflow access by authenticated user/workspace. Prevent cross-user data leakage and direct-object-reference attacks.</w:t>
      </w:r>
    </w:p>
    <w:p>
      <w:pPr>
        <w:pStyle w:val="Heading1"/>
      </w:pPr>
      <w:r>
        <w:t>Audit and Failure Policy</w:t>
      </w:r>
    </w:p>
    <w:p>
      <w:r>
        <w:t>Audit login/security-sensitive changes, LLM/provider changes, candidate handoffs, trader approvals, adoption, execution requests, and admin actions. Authority-changing failures should fail closed.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