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TWF Service Contract Architecture</w:t>
      </w:r>
    </w:p>
    <w:p>
      <w:pPr>
        <w:jc w:val="center"/>
      </w:pPr>
      <w:r>
        <w:rPr>
          <w:i/>
          <w:sz w:val="18"/>
        </w:rPr>
        <w:t>Logical-service and integration boundary reference</w:t>
      </w:r>
    </w:p>
    <w:p>
      <w:pPr>
        <w:pStyle w:val="Heading1"/>
      </w:pPr>
      <w:r>
        <w:t>Architecture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DejaVu Sans Mono" w:hAnsi="DejaVu Sans Mono"/>
                <w:sz w:val="15"/>
              </w:rPr>
              <w:t>TWF Workflow / Domain</w:t>
              <w:br/>
              <w:t xml:space="preserve">        ↓</w:t>
              <w:br/>
              <w:t>Logical Service Clients</w:t>
              <w:br/>
              <w:t xml:space="preserve"> ┌──────┼───────┬───────┐</w:t>
              <w:br/>
              <w:t>Scanner  TI      TM      LLM</w:t>
              <w:br/>
              <w:t xml:space="preserve">  ↓      ↓       ↓        ↓</w:t>
              <w:br/>
              <w:t>Local / Remote Adapters</w:t>
              <w:br/>
              <w:t xml:space="preserve">        ↓</w:t>
              <w:br/>
              <w:t>Satellite Services</w:t>
            </w:r>
          </w:p>
        </w:tc>
      </w:tr>
    </w:tbl>
    <w:p>
      <w:pPr>
        <w:pStyle w:val="Heading1"/>
      </w:pPr>
      <w:r>
        <w:t>Purpose</w:t>
      </w:r>
    </w:p>
    <w:p>
      <w:r>
        <w:t>Define stable service semantics independently of transport and deployment.</w:t>
      </w:r>
    </w:p>
    <w:p>
      <w:pPr>
        <w:pStyle w:val="Heading1"/>
      </w:pPr>
      <w:r>
        <w:t>Common Contract</w:t>
      </w:r>
    </w:p>
    <w:p>
      <w:r>
        <w:t>Every service exposes identity, contract version, capabilities, health, typed requests/responses/errors, correlation and provenance.</w:t>
      </w:r>
    </w:p>
    <w:p>
      <w:pPr>
        <w:pStyle w:val="Heading1"/>
      </w:pPr>
      <w:r>
        <w:t>Local / Remote Equivalence</w:t>
      </w:r>
    </w:p>
    <w:p>
      <w:r>
        <w:t>Workflow code depends on logical clients. Local and remote adapters must preserve business semantics.</w:t>
      </w:r>
    </w:p>
    <w:p>
      <w:pPr>
        <w:pStyle w:val="Heading1"/>
      </w:pPr>
      <w:r>
        <w:t>Versioning</w:t>
      </w:r>
    </w:p>
    <w:p>
      <w:r>
        <w:t>Keep service version, contract version, model/policy version, prompt/orchestration version and TWF client version distinct.</w:t>
      </w:r>
    </w:p>
    <w:p>
      <w:pPr>
        <w:pStyle w:val="Heading1"/>
      </w:pPr>
      <w:r>
        <w:t>Authority Boundaries</w:t>
      </w:r>
    </w:p>
    <w:p>
      <w:r>
        <w:t>Scanner discovers; TI advises; TM governs; LLM reasons/synthesizes; TWF orchestrates. Generic service abstractions must not weaken these boundaries.</w:t>
      </w:r>
    </w:p>
    <w:p>
      <w:pPr>
        <w:pStyle w:val="Heading1"/>
      </w:pPr>
      <w:r>
        <w:t>Testing</w:t>
      </w:r>
    </w:p>
    <w:p>
      <w:r>
        <w:t>Synthetic adapters, contract suites, local/remote equivalence, degraded-service, version mismatch, provenance and correlation tests are mandatory integration foundations.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