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TWF-0 Architecture Acceptance &amp; Coding Readiness</w:t>
      </w:r>
    </w:p>
    <w:p>
      <w:pPr>
        <w:jc w:val="center"/>
      </w:pPr>
      <w:r>
        <w:rPr>
          <w:i/>
          <w:sz w:val="18"/>
        </w:rPr>
        <w:t>Formal gate before TWF-1 implementation</w:t>
      </w:r>
    </w:p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5"/>
              </w:rPr>
              <w:t>TWF-0 Architecture Set</w:t>
              <w:br/>
              <w:t xml:space="preserve">        ↓</w:t>
              <w:br/>
              <w:t>Product / Components / UX / Data / Security</w:t>
              <w:br/>
              <w:t>Services / Deployment / Engineering / Roadmap</w:t>
              <w:br/>
              <w:t xml:space="preserve">        ↓</w:t>
              <w:br/>
              <w:t>Explicit Acceptance Review</w:t>
              <w:br/>
              <w:t xml:space="preserve">   ├── GO_TWF1</w:t>
              <w:br/>
              <w:t xml:space="preserve">   ├── HOLD_TWF0</w:t>
              <w:br/>
              <w:t xml:space="preserve">   └── ARCHITECTURAL_REWORK_REQUIRED</w:t>
            </w:r>
          </w:p>
        </w:tc>
      </w:tr>
    </w:tbl>
    <w:p>
      <w:pPr>
        <w:pStyle w:val="Heading1"/>
      </w:pPr>
      <w:r>
        <w:t>Purpose</w:t>
      </w:r>
    </w:p>
    <w:p>
      <w:r>
        <w:t>Prevent coding from starting before ownership, service, data, security, UX and deployment foundations are coherent.</w:t>
      </w:r>
    </w:p>
    <w:p>
      <w:pPr>
        <w:pStyle w:val="Heading1"/>
      </w:pPr>
      <w:r>
        <w:t>Required Gates</w:t>
      </w:r>
    </w:p>
    <w:p>
      <w:r>
        <w:t>Product clarity, component architecture, service integration, data, security, UX, deployment and engineering-process gates must be explicitly reviewed.</w:t>
      </w:r>
    </w:p>
    <w:p>
      <w:pPr>
        <w:pStyle w:val="Heading1"/>
      </w:pPr>
      <w:r>
        <w:t>Allowed TBDs</w:t>
      </w:r>
    </w:p>
    <w:p>
      <w:r>
        <w:t>Component library, charting library, auth provider, background job framework, Redis timing, cloud/billing provider and final live TM adapter details may remain isolated TBDs.</w:t>
      </w:r>
    </w:p>
    <w:p>
      <w:pPr>
        <w:pStyle w:val="Heading1"/>
      </w:pPr>
      <w:r>
        <w:t>Disallowed Unknowns</w:t>
      </w:r>
    </w:p>
    <w:p>
      <w:r>
        <w:t>Do not code while trading authority, broker truth, user ownership, service coupling, DB portability or LLM provider neutrality are ambiguous.</w:t>
      </w:r>
    </w:p>
    <w:p>
      <w:pPr>
        <w:pStyle w:val="Heading1"/>
      </w:pPr>
      <w:r>
        <w:t>TWF-1 Authorization Scope</w:t>
      </w:r>
    </w:p>
    <w:p>
      <w:r>
        <w:t>Web/API shells, database/user/settings foundation, service registry/client foundation and synthetic adapters only. No live broker execution.</w:t>
      </w:r>
    </w:p>
    <w:p>
      <w:pPr>
        <w:pStyle w:val="Heading1"/>
      </w:pPr>
      <w:r>
        <w:t>Current State</w:t>
      </w:r>
    </w:p>
    <w:p>
      <w:r>
        <w:t>The architecture set is approaching readiness, but creation of the documents is not itself acceptance. Perform an explicit review before GO_TWF1.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