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TWF UX Architecture</w:t>
      </w:r>
    </w:p>
    <w:p>
      <w:pPr>
        <w:jc w:val="center"/>
      </w:pPr>
      <w:r>
        <w:rPr>
          <w:i/>
          <w:sz w:val="20"/>
        </w:rPr>
        <w:t>TradingWorkFlow (TWF) — Architecture Reference</w:t>
      </w:r>
    </w:p>
    <w:p/>
    <w:p>
      <w:pPr>
        <w:pStyle w:val="Heading1"/>
      </w:pPr>
      <w:r>
        <w:t>Architecture at a Glance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2F2"/>
          </w:tcPr>
          <w:p>
            <w:r>
              <w:rPr>
                <w:rFonts w:ascii="DejaVu Sans Mono" w:hAnsi="DejaVu Sans Mono"/>
                <w:sz w:val="16"/>
              </w:rPr>
              <w:t>TWF Web Shell</w:t>
              <w:br/>
              <w:t>├── Watchlists / Scanners</w:t>
              <w:br/>
              <w:t>├── Candidate / Instrument Workspace</w:t>
              <w:br/>
              <w:t>├── TI / LLM Intelligence</w:t>
              <w:br/>
              <w:t>├── TM / Orders / Positions</w:t>
              <w:br/>
              <w:t>├── Risk / Authority / Actions</w:t>
              <w:br/>
              <w:t>└── Consoles / Events / Workflow History</w:t>
            </w:r>
          </w:p>
        </w:tc>
      </w:tr>
    </w:tbl>
    <w:p>
      <w:pPr>
        <w:pStyle w:val="Heading1"/>
      </w:pPr>
      <w:r>
        <w:t>Purpose</w:t>
      </w:r>
    </w:p>
    <w:p>
      <w:r>
        <w:t>Define the user-experience architecture for a fast, responsive, trader-oriented web application that unifies scanner, TI, TM, LLM, broker-facing state, alerts, consoles, and workflow history while preserving ownership boundaries.</w:t>
      </w:r>
    </w:p>
    <w:p>
      <w:pPr>
        <w:pStyle w:val="Heading1"/>
      </w:pPr>
      <w:r>
        <w:t>UX North Star</w:t>
      </w:r>
    </w:p>
    <w:p>
      <w:r>
        <w:t>A trader should be able to discover, understand, decide, approve, monitor, and review without losing instrument or workflow context.</w:t>
      </w:r>
    </w:p>
    <w:p>
      <w:pPr>
        <w:pStyle w:val="Heading1"/>
      </w:pPr>
      <w:r>
        <w:t>Core UX Principles</w:t>
      </w:r>
    </w:p>
    <w:p>
      <w:pPr>
        <w:pStyle w:val="ListBullet"/>
      </w:pPr>
      <w:r>
        <w:t>Desktop-first, responsive web application.</w:t>
      </w:r>
    </w:p>
    <w:p>
      <w:pPr>
        <w:pStyle w:val="ListBullet"/>
      </w:pPr>
      <w:r>
        <w:t>Persistent workspace rather than page-by-page navigation.</w:t>
      </w:r>
    </w:p>
    <w:p>
      <w:pPr>
        <w:pStyle w:val="ListBullet"/>
      </w:pPr>
      <w:r>
        <w:t>Minimal full-page reloads and explicit stale/degraded states.</w:t>
      </w:r>
    </w:p>
    <w:p>
      <w:pPr>
        <w:pStyle w:val="ListBullet"/>
      </w:pPr>
      <w:r>
        <w:t>Analysis, recommendation, authority, and execution remain visually distinct.</w:t>
      </w:r>
    </w:p>
    <w:p>
      <w:pPr>
        <w:pStyle w:val="ListBullet"/>
      </w:pPr>
      <w:r>
        <w:t>Dense but readable layouts with keyboard-friendly operations.</w:t>
      </w:r>
    </w:p>
    <w:p>
      <w:pPr>
        <w:pStyle w:val="ListBullet"/>
      </w:pPr>
      <w:r>
        <w:t>Every important action preserves workflow and audit lineage.</w:t>
      </w:r>
    </w:p>
    <w:p>
      <w:pPr>
        <w:pStyle w:val="Heading1"/>
      </w:pPr>
      <w:r>
        <w:t>Trader Journey</w:t>
      </w:r>
    </w:p>
    <w:p>
      <w:r>
        <w:t>Login → Workspace → Watchlist/Scanner → Candidate → TI/LLM analysis → Trader review → TM risk/authority → Manual approval → Execution/adoption → Monitoring → History.</w:t>
      </w:r>
    </w:p>
    <w:p>
      <w:pPr>
        <w:pStyle w:val="Heading1"/>
      </w:pPr>
      <w:r>
        <w:t>Workspace and Panels</w:t>
      </w:r>
    </w:p>
    <w:p>
      <w:r>
        <w:t>The workspace should preserve selected instrument, watchlist, layout, active broker/service configuration, active primary LLM, default horizons, and display preferences.</w:t>
      </w:r>
    </w:p>
    <w:p>
      <w:pPr>
        <w:pStyle w:val="Heading1"/>
      </w:pPr>
      <w:r>
        <w:t>Realtime UX</w:t>
      </w:r>
    </w:p>
    <w:p>
      <w:r>
        <w:t>Realtime updates should expose freshness timestamps, stale/disconnected states, reconnect status, and avoid layout thrash while the trader is interacting.</w:t>
      </w:r>
    </w:p>
    <w:p>
      <w:pPr>
        <w:pStyle w:val="Heading1"/>
      </w:pPr>
      <w:r>
        <w:t>Web Consoles</w:t>
      </w:r>
    </w:p>
    <w:p>
      <w:r>
        <w:t>Provide a reusable console surface for TI, TM, scanners, LLM/agents, system events, and audit. Initial mode should be read-only unless a command surface is explicitly authorized.</w:t>
      </w:r>
    </w:p>
    <w:p>
      <w:pPr>
        <w:pStyle w:val="Heading1"/>
      </w:pPr>
      <w:r>
        <w:t>Responsive and Accessibility</w:t>
      </w:r>
    </w:p>
    <w:p>
      <w:r>
        <w:t>Desktop/laptop is the primary trading form factor. Tablet supports review/monitoring. Mobile initially focuses on monitoring/alerts. Keyboard navigation, focus visibility, contrast, semantic labels, and non-color-only state indicators are required.</w:t>
      </w:r>
    </w:p>
    <w:p>
      <w:pPr>
        <w:pStyle w:val="Heading1"/>
      </w:pPr>
      <w:r>
        <w:t>Initial UX Acceptance</w:t>
      </w:r>
    </w:p>
    <w:p>
      <w:r>
        <w:t>The miniature should demonstrate login, shell, watchlist, scanner candidate, candidate workspace, TI response, TM risk/authority, manual approval, position monitoring, console, and workflow history.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