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" w:hAnsi="Aptos"/>
          <w:b/>
          <w:i w:val="0"/>
          <w:color w:val="00A7B5"/>
          <w:sz w:val="24"/>
        </w:rPr>
        <w:t>TRADINGWORKFLOW (TWF)</w:t>
      </w:r>
    </w:p>
    <w:p>
      <w:pPr>
        <w:spacing w:before="240"/>
        <w:jc w:val="center"/>
      </w:pPr>
      <w:r>
        <w:rPr>
          <w:rFonts w:ascii="Aptos Display" w:hAnsi="Aptos Display"/>
          <w:b/>
          <w:i w:val="0"/>
          <w:color w:val="17365D"/>
          <w:sz w:val="56"/>
        </w:rPr>
        <w:t>TWF Sprint-2 Scan &amp; Discover Delivery Plan</w:t>
      </w:r>
    </w:p>
    <w:p>
      <w:pPr>
        <w:jc w:val="center"/>
      </w:pPr>
      <w:r>
        <w:rPr>
          <w:rFonts w:ascii="Aptos" w:hAnsi="Aptos"/>
          <w:b w:val="0"/>
          <w:i w:val="0"/>
          <w:color w:val="667788"/>
          <w:sz w:val="24"/>
        </w:rPr>
        <w:t>Bounded implementation scope, gates, acceptance evidence and delivery slices</w:t>
      </w:r>
    </w:p>
    <w:p>
      <w:pPr>
        <w:spacing w:before="500"/>
        <w:jc w:val="center"/>
      </w:pPr>
      <w:r>
        <w:rPr>
          <w:rFonts w:ascii="Aptos" w:hAnsi="Aptos"/>
          <w:b/>
          <w:i w:val="0"/>
          <w:color w:val="263746"/>
          <w:sz w:val="20"/>
        </w:rPr>
        <w:t>Version 0.1  •  28 Sep 2026</w:t>
      </w:r>
    </w:p>
    <w:p>
      <w:pPr>
        <w:jc w:val="center"/>
      </w:pPr>
      <w:r>
        <w:rPr>
          <w:rFonts w:ascii="Aptos" w:hAnsi="Aptos"/>
          <w:b/>
          <w:i w:val="0"/>
          <w:color w:val="00A7B5"/>
          <w:sz w:val="18"/>
        </w:rPr>
        <w:t>PROPOSED / RECONCILED / READY FOR REVIEW</w:t>
      </w:r>
    </w:p>
    <w:p>
      <w:pPr>
        <w:spacing w:before="900"/>
        <w:jc w:val="center"/>
      </w:pPr>
      <w:r>
        <w:rPr>
          <w:rFonts w:ascii="Aptos" w:hAnsi="Aptos"/>
          <w:b w:val="0"/>
          <w:i/>
          <w:color w:val="667788"/>
          <w:sz w:val="18"/>
        </w:rPr>
        <w:t>Markdown is the normative repository source. This DOCX is the synchronized visual/reference companion.</w:t>
      </w: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Topic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Status and authority</w:t>
            </w:r>
          </w:p>
        </w:tc>
      </w:tr>
      <w:tr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1. Objective and starting point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2. Explicit scope</w:t>
            </w:r>
          </w:p>
        </w:tc>
      </w:tr>
      <w:tr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3. Baseline acceptance scenario and bounded configuration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4. Gate S2-0 — architecture and external-contract resolution</w:t>
            </w:r>
          </w:p>
        </w:tc>
      </w:tr>
      <w:tr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5. Delivery slices and acceptance evidence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6. Run, persistence and deployment boundary</w:t>
            </w:r>
          </w:p>
        </w:tc>
      </w:tr>
      <w:tr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7. UX acceptance journeys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8. Test and acceptance matrix</w:t>
            </w:r>
          </w:p>
        </w:tc>
      </w:tr>
      <w:tr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5040"/>
            <w:shd w:fill="F4F8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9. Validation and evidence required at implementation acceptance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11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10. Milestone mapping and final gate</w:t>
            </w:r>
          </w:p>
        </w:tc>
      </w:tr>
    </w:tbl>
    <w:p>
      <w:r>
        <w:br w:type="page"/>
      </w:r>
    </w:p>
    <w:p>
      <w:pPr>
        <w:pStyle w:val="Heading1"/>
      </w:pPr>
      <w:r>
        <w:t>Status and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Version</w:t>
            </w:r>
          </w:p>
        </w:tc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Role and change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0.1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2026-09-28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PROPOSED / RECONCILED / READY FOR REVIEW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Normative delivery proposal with bounded slices, dependencies and acceptance gates; no runtime implementation authorized by this document alone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Read with the S&amp;D architecture, Opportunity domain and reconciliation record. “Sprint 2” names this proposed delivery workstream, not a promised two-week estimate, not a renaming of TWF-2, and not a retrospective “Sprint 1” acceptance claim.</w:t>
      </w:r>
    </w:p>
    <w:p>
      <w:pPr>
        <w:pStyle w:val="Heading1"/>
      </w:pPr>
      <w:r>
        <w:t>1. Objective and starting point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clean_ui_wireframe_of_a_trading_market_scan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667788"/>
          <w:sz w:val="16"/>
        </w:rPr>
        <w:t>Figure 1. Sprint-2 target user surface: Scan &amp; Discover.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Deliver an independently useful Scan &amp; Discover system: a user can select an approved universe/profile, scan, inspect matches, optionally discover candidates, understand their evidence/context/freshness/relevance, refresh them and review history without TI, TM, an LLM or a broker connection. Broker V2 remains independently useful and unchanged. No trade can be submitted from S&amp;D in this scope.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Repository reconnaissance at this proposal: main, 69a643e372c48a6d3d85ce57962ca05c38c4c3dc, clean before documentation edits, twf-broker-v2 at HEAD. TWF-0/TWF-1 and Broker V1/V2 acceptance are preserved. The accepted API, auth, SQLAlchemy/Alembic, frontend/theme, settings and service-client foundations are reusable. The current service-client implementation is health-only; it does not already provide scans, intelligence, MCP or LLM inference. Existing settings contain bounded personal preferences, not all proposed S&amp;D configuration.</w:t>
      </w:r>
    </w:p>
    <w:p>
      <w:pPr>
        <w:pStyle w:val="Heading1"/>
      </w:pPr>
      <w:r>
        <w:t>2. Explicit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In this delivery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Provider-neutral S&amp;D contracts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UniverseProvider, CandidateSource, ScanProvider, MarketIntelligenceProvider, CandidateIntelligenceProvider, LLMService; synthetic implementations prove seams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Scan definitions and profiles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Versioned bounded typed expression tree; capability validation before execution; no arbitrary code/SQL/provider tool text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Candidate-source seam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Internal normalized scan source and a synthetic external-source contract proof; production external/manual/agent ingestion remains later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TradingView MCP scan adapter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Important first external adapter, gated by verified service/tool/auth/data-rights contract; never mandatory for core startup or internal scans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TWF internal scanner V0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Bounded price/volume, SMA trend, relative volume and breakout rules over an approved independent data input; not a TradingView clone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Normalization/merge/dedup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Typed identities, units/time semantics, lineage and uncertainty; no symbol-only merges or duplicate-source confidence inflation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Bounded market intelligence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Benchmark trend, historical-volatility/regime measure and venue/session context; optional sector context if supported; not full TI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Optional LLM Level-0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Evidence-grounded explanations/comparisons/gap summaries; human-reviewed NL-to-definition drafts; one applied active binding; deterministic results unchanged with LLM OFF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Discovery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Intent/horizon, immutable snapshots, relevance, evidence, tolerance, freshness, recurrence and lifecycle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Durable history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Scan/discovery runs, outcomes/declined nominations, episodes, annotations and revisioned configuration references; restart and retention behavior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First-class settings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Existing settings/capability/security model extended with approved typed descriptors and bounded UI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Finished UX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Scan, Discovery and Scan + Discover; results, queue, details, evidence/history and settings; both themes and responsive layouts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Verification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Deterministic offline coverage, disposable DB/browser/container checks and explicitly authorized read-only provider smoke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Out: full TI/deep intelligence, Opportunity qualification, Trade Construction, LOB implementation, TM managed integration, broker order entry from discovery, automatic execution, alerts/notification platform, continuous/high-frequency monitoring, production ML ranking, autonomous agents and self-learning activation. Architectural hooks do not authorize endpoints/tables/UI for these later stages.</w:t>
      </w:r>
    </w:p>
    <w:p>
      <w:pPr>
        <w:pStyle w:val="Heading1"/>
      </w:pPr>
      <w:r>
        <w:t>3. Baseline acceptance scenario and bounded configuration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The proposed initial product lane is listed cash-equity underlyings with an explicit reference listing, initially NSE/BSE subject to approved data rights and reliable identity/calendar coverage. A versioned completed-session swing profile (for example 1–5 trading sessions) provides meaningful deterministic use outside market hours. An intraday/current-session profile is enabled only when verified fresh-data and session-calendar capability is available. Do not describe EOD data as live.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This initial universe/profile selection is a proposal requiring S2-0 approval, not a claim about data already licensed or available. The core accepts extensible HorizonSpec values; synthetic contract tests cover session, elapsed, calendar and event windows regardless of initial live entitlements. Additional live assets or profiles require explicit capability/data acceptance, not new hard-coded domain types.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An internal scanner without an independent approved data source is not a completed provider-independent live product. A fixture-only demonstration satisfies contract checks but cannot close the final real-data delivery gate. The plan therefore requires the data-source choice before implementation of the corresponding adapter.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Pin a small initial definition set: a price/liquidity filter; a price-above-SMA trend filter; a relative-volume condition; and a breakout against a bounded prior window. Select exact window lengths, missing-bar rules, adjustment basis and numerical tolerances in S2-0/S2-2 fixtures. EMA/RSI/ATR/crossovers/52-week/pullback criteria are extension targets unless separately selected by replacing, not endlessly expanding, this bounded initial set. No universal “profitable” thresholds are asserted.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For a live adapter, complete a reviewed profile manifest with explicit limits: maximum universe size, result/page count, historical rows, concurrent calls, response bytes, total deadline, retry budget for safe reads, active runs per owner, LLM token/ cost cap, data-freshness thresholds, tolerance policy and retention classes. Missing limits fail capability activation; defaults may not silently mean unlimited. Exact operating values depend on the selected provider contract and deployment budget.</w:t>
      </w:r>
    </w:p>
    <w:p>
      <w:pPr>
        <w:pStyle w:val="Heading1"/>
      </w:pPr>
      <w:r>
        <w:t>4. Gate S2-0 — architecture and external-contract resolution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This is the next gate, before runtime work. Review all three normative proposals and the reconciliation record independently. Resolve these implementation inputs: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336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evidence and owner</w:t>
            </w:r>
          </w:p>
        </w:tc>
        <w:tc>
          <w:tcPr>
            <w:tcW w:type="dxa" w:w="336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Blocked dependent work if unresolved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TradingView MCP service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Maintainer/repository/service URL, pinned version, auth, permitted tools and exact request/response schemas, capability and rate limits; integration owner verifies authoritative material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Real TV adapter; no assumption that a service branded TradingView is official or has a universal API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TV/data licensing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Rights to query, store, derive, display and send context to an LLM, including retention and redistribution; product/security owners record approval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Real data ingestion/retention/egress claims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Independent market data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Approved historical/current data producer independent of TV, calendar and benchmark coverage, correction/adjustment policy; data/integration owners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Live internal scanner and market-context acceptance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Reference identity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Initial universe/listing keys, mapping ambiguity behavior and canonicalization source; domain owner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Cross-provider identity merge beyond explicit exact mappings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Initial profiles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Universe, horizons/calendar, bounded scan set, market-context requirement, scoring features/weights, coverage, tolerance/freshness thresholds; product/domain owners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Reproducible live nomination and lifecycle acceptance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Optional hosted LLM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One permitted adapter/model binding, data-egress policy, budgets and grounding schema; security/integration owners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LLM-enabled production mode; LLM OFF remains valid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Retention/operations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Licensed capture rules, user deletion/tombstones, retention periods, limits and interrupted-run recovery; engineering/security owners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Production persistence/operational acceptance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No source/server or vendor-specific schema was verified in this documentation task. Do not invent a dependency or promise real integration from diagrams. If TV cannot be contracted, explicitly re-scope that slice through review; do not silently omit it and claim all Sprint-2 acceptance criteria passed. Likewise a missing LLM provider may leave deterministic S&amp;D useful but must be reflected in feature acceptance.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Exit: reviewed architecture decisions, resolved gates for the next slice, approved implementation prompt, and explicit known limitations. Documentation readiness is not runtime GO or permission to contact paid/live providers with stored credentials.</w:t>
      </w:r>
    </w:p>
    <w:p>
      <w:pPr>
        <w:pStyle w:val="Heading1"/>
      </w:pPr>
      <w:r>
        <w:t>5. Delivery slices and acceptance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728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667788"/>
          <w:sz w:val="16"/>
        </w:rPr>
        <w:t>Figure 2. Delivery components and provider-neutral core.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Slices are dependency groups, not new permanent milestone IDs. Each needs a bounded implementation prompt, isolated tests and independent acceptance before claiming completion. Preserve prior accepted work rather than resetting its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Slice</w:t>
            </w:r>
          </w:p>
        </w:tc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Delivery</w:t>
            </w:r>
          </w:p>
        </w:tc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Dependencies</w:t>
            </w:r>
          </w:p>
        </w:tc>
        <w:tc>
          <w:tcPr>
            <w:tcW w:type="dxa" w:w="25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Acceptance evidence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S2-1 Domain and contracts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Shared subject/intent/horizon, typed evidence/run/result envelopes, provider manifests, capability/entitlement checks and deterministic synthetic fixtures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S2-0 core decisions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No scan-provider types in core; absent provider healthy app startup; schema/unknown-field/version/error/ownership tests; non-scan CandidateSource exercised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S2-2 Native scan and definitions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Universe resolution, approved independent data reader, versioned profiles, safe expressions, V0 scanner and bounded internal market context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S2-1 and data/calendar/profile gates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Known inputs yield expected matches/context; bad/missing/late data and unsupported criteria fail honestly; full scan-only without TV/LLM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S2-3 External adapter and normalization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Verified TradingView MCP adapter, local/remote contract parity, normalized results and merge/dedup with actual provenance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S2-1 and verified TV contract; S2-2 provides alternative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Adapter fixtures and authorized read-only smoke; TV unavailable scenario still permits explicit internal run; no silent fallback; schema/timeout/size/rate/security cases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S2-4 Discovery and history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Durable runs, episodes/S1…Sn, context/evidence, deterministic configurable relevance, tolerance/lifecycle, save/review/dismiss and history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S2-2; S2-3 exercises multi-provider inputs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No-LLM Scan + Discover; immutable history; same subject multiple intents and recurring episodes; concurrency/restart/isolation/retention tests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S2-5 Optional interpretation and settings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Existing configuration model extensions, one active hosted LLM binding, validated grounding, NL draft review, costs/egress safeguards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S2-4 and selected LLM/security gate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LLM OFF/failure leaves deterministic results usable; two interchangeable synthetic adapters; factual citation rejection, context-only UX and safe schema migration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S2-6 Finished UX and acceptance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Coherent Scan/Discovery/Scan + Discover screens, queue/details/history/settings, accessibility/responsiveness and release documentation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Prior slices with accepted required external gates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User journeys, negative/security tests, browser matrix, production/container build, review and explicit milestone decision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UI contracts and accessibility fixtures should be developed with each slice; S2-6 is integration/quality closure, not permission to leave unusable intermediate controls. S2-5 needs one real hosted binding when that feature is accepted, not three commercial integrations. Replaceability is demonstrated with contract fixtures; experimental local inference is not a production prerequisite.</w:t>
      </w:r>
    </w:p>
    <w:p>
      <w:pPr>
        <w:pStyle w:val="Heading1"/>
      </w:pPr>
      <w:r>
        <w:t>6. Run, persistence and deployment boundary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Start within the existing modular FastAPI application and Next.js frontend. No separate scanner microservice, message broker, Redis, distributed scheduler or market-data warehouse is prescribed. Local in-process adapters and approved remote adapters have the same typed semantics. A future dedicated worker requires an operational decision, not an accidental framework side effect.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A user-triggered bounded run records QUEUED/RUNNING and terminal SUCCEEDED, PARTIAL, FAILED, CANCELLED or INTERRUPTED state. Restart reconciliation marks abandoned work interrupted; an explicit retry creates a linked attempt. Generation fencing rejects late responses. Provider I/O happens outside DB write transactions; snapshot/events/ head changes commit atomically under ownership/revision checks. No implicit perpetual background refresh is required. GET can compute time-based STALE/EXPIRED projections without mutating storage, while explicit bounded evaluation persists decisions.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Alembic owns schema evolution. Exercise disposable SQLite and PostgreSQL migrations, repeat upgrades and downgrade/re-upgrade as appropriate. Isolate tests from developer and production DBs; do not import live broker credentials. /ready retains accepted application-only meaning; provider/data degradation is a typed S&amp;D result and UI state. No discovery failure should disable otherwise healthy Broker V2 access.</w:t>
      </w:r>
    </w:p>
    <w:p>
      <w:pPr>
        <w:pStyle w:val="Heading1"/>
      </w:pPr>
      <w:r>
        <w:t>7. UX acceptance journeys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Scan only: choose permitted universe/profile, inspect criteria and available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provider capabilities, run, see normalized matches with source/as-of/completeness, open a match and review run history. No candidate creation is forced.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Scan + Discover, LLM OFF: run a profile, see eligible candidates or an explained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no-nomination result, relevance/coverage, intent/window, market context and evidence. No blank dependency panel implies TI/LLM is required.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Discovery queue: filter by intent/horizon/relevance/freshness/status, save/review/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dismiss with clear consequences, inspect S1…Sn and transition reasons, refresh a selected candidate without silently extending its opportunity window.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Temporal behavior: show provisional S1, genuine subsequent evolution, ordinary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pullback in the same episode, stale without invalidity, defunct recovery, expiry, rejection and a later new episode linked to history.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Optional interpretation: distinguish GROUNDED/PARTIALLY_GROUNDED/CONTEXT_ONLY,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open actual input evidence citations, see missing/old context, disable/rebind LLM without changing deterministic scores. NL drafts require explicit review/validation.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Provider failure/settings: unsupported criteria disabled with reason, revoked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entitlement cannot run, timeout/partial/empty separated, switch explicitly to an eligible internal profile, saved settings revision and applied revision visible.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Use existing theme tokens, eight surface-state primitives and keyboard/focus patterns. Review 390, 768, 1024, 1440, 1920 and 2560+ widths in both themes. Recompose result lists/detail panes; allow contained tabular overflow while preserving source identity and primary actions. Do not show fake dashboard metrics, invented probability or Buy/Sell/Send to LOB controls. Existing shell navigation placeholders are not evidence of implemented S&amp;D. Specify final nav/route names during the UX implementation gate.</w:t>
      </w:r>
    </w:p>
    <w:p>
      <w:pPr>
        <w:pStyle w:val="Heading1"/>
      </w:pPr>
      <w:r>
        <w:t>8. Test and acceptance matrix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Tests must verify failure behavior and invariants, not mirror implementation or rely on a real service being online. Use fixed clocks, controlled calendars, known units, source availability timestamps and seeded deterministic fixtures.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504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regressions / meaningful oracle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Domain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Ambiguous symbols; listing vs underlying; owner collision; multiple intents; horizon basis/event/window semantics; no discovery execution authority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Scan definition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Typed operator/units/window validation; unsupported capability; bounded AST; no arbitrary expression execution; versioned drafts vs applied profile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Provider contracts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Local/remote/synthetic same envelope; actual source mode; capabilities vs health vs entitlement; missing vs empty vs partial; schema/version mismatch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Synthetic providers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Repeatable clocks/scenarios; delayed/partial/conflicting/malformed observations; external CandidateSource without scanning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TV MCP adapter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Pinned tool/schema fixtures; allowed tools only; auth redaction; total deadline including streaming/parsing; byte/page bounds; rate limit; no arbitrary URL/tool invocation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Internal scanner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Hand-checkable features, missing bars, zero volume/divisor, unadjusted vs adjusted basis, trading calendar, insufficient lookback, unavailable data; no TV dependency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Market context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Benchmark trend/volatility/session expected values; stale/missing benchmark; sector optional; incompatible context basis and provider conflict surfaced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Normalization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Decimal/units/time conversion; unknown IDs; future timestamps; exact native references preserved; correction and out-of-order handling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Dedup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Same observation replay not new evidence; cross-source syndicated lineage not independent confirmation; same underlying across listings not blindly collapsed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Relevance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Deterministic contributions, null vs zero, required-input refusal, optional missingness not inflation, dependence caps, exact band edges/display rounding, no-LLM invariance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Snapshot/history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Append-only/correction links, head CAS, two comparable distinct observations required; replays do not rewrite history; raw-retention limit shows incomplete reproducibility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Lifecycle/tolerance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Normal pullback, multidimensional breach, recovery, no timer-only defunct, stale projection, fixed expiry, reasoned terminal rejection, no resurrection/new episode linkage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LLM OFF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No inference call, credential requirement or missing-LLM failure; useful scans/context/candidates with same deterministic output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Grounded LLM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Valid eligible citations; fabricated/wrong-owner/stale citations fail validation; prompts untrusted; generated facts cannot fill raw evidence; no lifecycle/score control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Context-only LLM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Clear label and no current-fact presentation; no verified-grounded badge; qualitative output not substituted for missing measurements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Capability/config/security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Existing descriptor/scopes/apply semantics; stale revision conflict; provider rebind/secret rotation; owner denial; revocation checked at use; endpoint SSRF/egress and no secret leakage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Failure/degraded UX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Offline provider, timeout, cancelled run, partial data, invalid response, quota and stale cache; retain prior valid history with explicit age; no fabricated empty success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Persistence/restart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SQLite and PostgreSQL, concurrent nomination uniqueness, atomic snapshot+head, interrupted recovery, fencing, repeated retry correlation, non-mutating GET, isolated migrations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Frontend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Keyboard labels/focus, state primitives, filter ownership, pagination under dataset revision, view pinned to snapshot, responsive panes, theme contrast, safe rendering of untrusted text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Browser E2E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8FB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Scan-only and Scan + Discover with no LLM/TV; optional LLM grounding, lifecycle/history/settings, authentication/isolation; Chromium and WebKit where environment permits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Scope/regression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i w:val="0"/>
                <w:color w:val="263746"/>
                <w:sz w:val="15"/>
              </w:rPr>
              <w:t>Broker V2 read/manual flow unchanged, no live orders submitted by tests, no TI/TM/LOB runtime claimed, dependency/secret/docs checks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Do not infer WebKit compatibility from Chromium. Recheck the known host/runtime limitation with an application-independent probe if it recurs; report an environmental block and residual uncertainty separately from a TWF defect. Never silently mark a browser passed when it did not execute.</w:t>
      </w:r>
    </w:p>
    <w:p>
      <w:pPr>
        <w:pStyle w:val="Heading1"/>
      </w:pPr>
      <w:r>
        <w:t>9. Validation and evidence required at implementation acceptance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Backend: pytest, Ruff lint/format, strict mypy, Python compilation, dependency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consistency/audit, OpenAPI/schema construction and contract snapshots.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Database: disposable SQLite/PostgreSQL migrations and behavior, contention and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owner isolation, restart recovery, no production auto-migration.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Frontend: type-check, lint, unit/interaction tests, Prettier, production build,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deterministic browser suites and representative rendered UX checks.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Operations: Compose validation, clean relevant image builds, app health/readiness,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bounded run/provider smoke and interruption recovery; no unintended remote writes.</w:t>
      </w:r>
    </w:p>
    <w:p>
      <w:pPr>
        <w:pStyle w:val="ListBullet"/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Documentation/security: links, architecture/contract/settings accuracy, secret and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dependency review, clean diff checks, recorded limitations and exact test counts.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Counts from earlier Broker V2 validation are historical evidence, not acceptance of future S&amp;D. Tests for this documentation-only task are structural/link/diagram/ consistency and scope checks; runtime suites are not rerun to imply nonexistent S&amp;D implementation passed them.</w:t>
      </w:r>
    </w:p>
    <w:p>
      <w:pPr>
        <w:pStyle w:val="Heading1"/>
      </w:pPr>
      <w:r>
        <w:t>10. Milestone mapping and final gate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65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hand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i/>
          <w:color w:val="667788"/>
          <w:sz w:val="16"/>
        </w:rPr>
        <w:t>Figure 3. Sprint-2 boundary and future handoff path.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Sprint 2 contributes to TWF-3 scanning/discovery and the bounded TWF-2.3 candidate workspace, with extensions of TWF-1.5 settings/TWF-1.6 client seams. It does not reopen those frozen foundations or mark all TWF-2/TWF-3 complete. LLM Level-0 is a bounded early interpretation slice, not acceptance of TWF-4 TI/deep intelligence. It advances UX-B2's independent discovery usefulness, not full UX-B2 or UX-B3 closure. TWF-5 managed authority, TWF-6 complete workflow and TWF-7–10 keep separate gates.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The join means final external-provider scope must be reviewed; discovery development and deterministic use do not wait on TV runtime availability. Implementation may parallelize independent slices after contracts are fixed, without weakening gates.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Final review must independently demonstrate: useful scan-only and Scan + Discover; viable internal path with no TV and no LLM; truthful source/freshness/grounding; immutable lineage and correct lifecycle; configurable deterministic relevance; provider replacement and safe failure; finished responsive UX; isolation and operational recovery; and zero expansion into trade authority or later-stage runtime.</w:t>
      </w:r>
    </w:p>
    <w:p>
      <w:pPr>
        <w:spacing w:after="80"/>
      </w:pPr>
      <w:r>
        <w:rPr>
          <w:rFonts w:ascii="Aptos" w:hAnsi="Aptos"/>
          <w:b w:val="0"/>
          <w:i w:val="0"/>
          <w:color w:val="263746"/>
          <w:sz w:val="19"/>
        </w:rPr>
        <w:t>Current decision: documentation is ready for independent architecture review. Sprint-2 runtime is not started by this task, not accepted, and not frozen. The next step is S2-0 review and recorded provider/data/policy resolutions, followed by a separately authorized bounded implementation prompt.</w:t>
      </w:r>
    </w:p>
    <w:p>
      <w:pPr>
        <w:pStyle w:val="Heading1"/>
      </w:pPr>
      <w:r>
        <w:t>Publication note</w:t>
      </w:r>
    </w:p>
    <w:p>
      <w:r>
        <w:rPr>
          <w:rFonts w:ascii="Aptos" w:hAnsi="Aptos"/>
          <w:b w:val="0"/>
          <w:i/>
          <w:color w:val="667788"/>
          <w:sz w:val="19"/>
        </w:rPr>
        <w:t>This companion is derived from the reconciled normative Markdown source. Architecture status remains PROPOSED / RECONCILED / READY FOR REVIEW until the independent review gate records acceptance.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667788"/>
        <w:sz w:val="16"/>
      </w:rPr>
      <w:t>TWF Sprint-2 Scan &amp; Discover Delivery Plan  |  v0.1</w:t>
    </w:r>
  </w:p>
  <w:p>
    <w:pPr>
      <w:jc w:val="right"/>
    </w:pPr>
    <w:r>
      <w:rPr>
        <w:rFonts w:ascii="Aptos" w:hAnsi="Aptos"/>
        <w:b w:val="0"/>
        <w:i w:val="0"/>
        <w:color w:val="667788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7788"/>
        <w:sz w:val="16"/>
      </w:rPr>
      <w:t>TradingWorkFlow (TWF)  | 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7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6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59" w:right="259"/>
    </w:pPr>
    <w:rPr>
      <w:rFonts w:ascii="Consolas" w:hAnsi="Consolas"/>
      <w:color w:val="26374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